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041181CD"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041181CE"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041181CF" w14:textId="77777777" w:rsidR="00DB7433" w:rsidRPr="004F3B17" w:rsidRDefault="00DB7433">
      <w:pPr>
        <w:autoSpaceDE w:val="0"/>
        <w:autoSpaceDN w:val="0"/>
        <w:adjustRightInd w:val="0"/>
        <w:rPr>
          <w:rFonts w:ascii="Book Antiqua" w:hAnsi="Book Antiqua"/>
          <w:color w:val="000000"/>
          <w:sz w:val="22"/>
          <w:szCs w:val="22"/>
        </w:rPr>
      </w:pPr>
    </w:p>
    <w:p w14:paraId="041181D0"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041181D1" w14:textId="77777777" w:rsidR="00DB7433" w:rsidRPr="004F3B17" w:rsidRDefault="00DB7433" w:rsidP="00DB7433">
      <w:pPr>
        <w:jc w:val="both"/>
        <w:rPr>
          <w:rFonts w:ascii="Book Antiqua" w:hAnsi="Book Antiqua" w:cs="Arial"/>
          <w:sz w:val="22"/>
          <w:szCs w:val="22"/>
        </w:rPr>
      </w:pPr>
    </w:p>
    <w:p w14:paraId="041181D2"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41181D3" w14:textId="77777777" w:rsidR="00DB7433" w:rsidRPr="004F3B17" w:rsidRDefault="00DB7433" w:rsidP="00DB7433">
      <w:pPr>
        <w:jc w:val="both"/>
        <w:rPr>
          <w:rFonts w:ascii="Book Antiqua" w:hAnsi="Book Antiqua" w:cs="Arial"/>
          <w:sz w:val="22"/>
          <w:szCs w:val="22"/>
        </w:rPr>
      </w:pPr>
    </w:p>
    <w:p w14:paraId="041181D4"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041181D5" w14:textId="77777777" w:rsidR="00DB7433" w:rsidRPr="004F3B17" w:rsidRDefault="00DB7433" w:rsidP="00DB7433">
      <w:pPr>
        <w:jc w:val="both"/>
        <w:rPr>
          <w:rFonts w:ascii="Book Antiqua" w:hAnsi="Book Antiqua" w:cs="Arial"/>
          <w:sz w:val="22"/>
          <w:szCs w:val="22"/>
        </w:rPr>
      </w:pPr>
    </w:p>
    <w:p w14:paraId="041181D6"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041181D7" w14:textId="77777777" w:rsidR="0049605A" w:rsidRPr="004F3B17" w:rsidRDefault="0049605A">
      <w:pPr>
        <w:autoSpaceDE w:val="0"/>
        <w:autoSpaceDN w:val="0"/>
        <w:adjustRightInd w:val="0"/>
        <w:rPr>
          <w:rFonts w:ascii="Book Antiqua" w:hAnsi="Book Antiqua"/>
          <w:color w:val="000000"/>
          <w:sz w:val="22"/>
          <w:szCs w:val="22"/>
        </w:rPr>
      </w:pPr>
    </w:p>
    <w:p w14:paraId="041181D8"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41181D9" w14:textId="77777777" w:rsidR="005B50A5" w:rsidRPr="004F3B17" w:rsidRDefault="005B50A5" w:rsidP="005B50A5">
      <w:pPr>
        <w:pStyle w:val="ListParagraph"/>
        <w:tabs>
          <w:tab w:val="left" w:pos="392"/>
        </w:tabs>
        <w:ind w:left="392"/>
        <w:rPr>
          <w:rFonts w:ascii="Book Antiqua" w:hAnsi="Book Antiqua"/>
          <w:sz w:val="22"/>
          <w:szCs w:val="22"/>
        </w:rPr>
      </w:pPr>
    </w:p>
    <w:p w14:paraId="041181DA" w14:textId="0B3F3206" w:rsidR="005B50A5"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(TSP)</w:t>
      </w:r>
      <w:r w:rsidR="005B50A5" w:rsidRPr="004F3B17">
        <w:rPr>
          <w:rFonts w:ascii="Book Antiqua" w:hAnsi="Book Antiqua"/>
          <w:sz w:val="22"/>
          <w:szCs w:val="22"/>
        </w:rPr>
        <w:t xml:space="preserve"> for </w:t>
      </w:r>
      <w:r w:rsidR="005B50A5" w:rsidRPr="00B419E7">
        <w:rPr>
          <w:rFonts w:ascii="Book Antiqua" w:hAnsi="Book Antiqua"/>
          <w:sz w:val="22"/>
          <w:szCs w:val="22"/>
        </w:rPr>
        <w:t xml:space="preserve">establishing </w:t>
      </w:r>
      <w:r w:rsidR="00837BD5" w:rsidRPr="00837BD5">
        <w:rPr>
          <w:rFonts w:ascii="Book Antiqua" w:hAnsi="Book Antiqua" w:cs="Arial"/>
          <w:b/>
          <w:bCs/>
          <w:sz w:val="22"/>
          <w:szCs w:val="22"/>
          <w:lang w:bidi="hi-IN"/>
        </w:rPr>
        <w:t>“</w:t>
      </w:r>
      <w:r w:rsidR="0047394F" w:rsidRPr="0047394F">
        <w:rPr>
          <w:rFonts w:ascii="Book Antiqua" w:hAnsi="Book Antiqua" w:cs="Arial"/>
          <w:b/>
          <w:bCs/>
          <w:sz w:val="22"/>
          <w:szCs w:val="22"/>
          <w:lang w:bidi="hi-IN"/>
        </w:rPr>
        <w:t>Transmission system for proposed Green Hydrogen / Green Ammonia projects in Kakinada area, Andhra Pradesh (Phase-I)</w:t>
      </w:r>
      <w:r w:rsidR="00837BD5" w:rsidRPr="00837BD5">
        <w:rPr>
          <w:rFonts w:ascii="Book Antiqua" w:hAnsi="Book Antiqua" w:cs="Arial"/>
          <w:b/>
          <w:bCs/>
          <w:sz w:val="22"/>
          <w:szCs w:val="22"/>
          <w:lang w:bidi="hi-IN"/>
        </w:rPr>
        <w:t>”</w:t>
      </w:r>
      <w:r w:rsidR="00450A7E" w:rsidRPr="00B419E7">
        <w:rPr>
          <w:rFonts w:ascii="Book Antiqua" w:hAnsi="Book Antiqua"/>
          <w:sz w:val="22"/>
          <w:szCs w:val="22"/>
        </w:rPr>
        <w:t xml:space="preserve">  </w:t>
      </w:r>
      <w:r w:rsidR="00450A7E" w:rsidRPr="00F05981">
        <w:rPr>
          <w:rFonts w:ascii="Book Antiqua" w:hAnsi="Book Antiqua"/>
          <w:sz w:val="22"/>
          <w:szCs w:val="22"/>
        </w:rPr>
        <w:t>(hereinafter referred to as the “Project”) under</w:t>
      </w:r>
      <w:r w:rsidR="00450A7E" w:rsidRPr="004F3B17">
        <w:rPr>
          <w:rFonts w:ascii="Book Antiqua" w:hAnsi="Book Antiqua"/>
          <w:sz w:val="22"/>
          <w:szCs w:val="22"/>
        </w:rPr>
        <w:t xml:space="preserve"> Tariff Based Competitive Bidding (TBCB) framework of </w:t>
      </w:r>
      <w:r w:rsidR="00173EB3">
        <w:rPr>
          <w:rFonts w:ascii="Book Antiqua" w:hAnsi="Book Antiqua"/>
          <w:sz w:val="22"/>
          <w:szCs w:val="22"/>
        </w:rPr>
        <w:t xml:space="preserve">the </w:t>
      </w:r>
      <w:r w:rsidR="00450A7E" w:rsidRPr="004F3B17">
        <w:rPr>
          <w:rFonts w:ascii="Book Antiqua" w:hAnsi="Book Antiqua"/>
          <w:sz w:val="22"/>
          <w:szCs w:val="22"/>
        </w:rPr>
        <w:t>Ministry of Power</w:t>
      </w:r>
      <w:r w:rsidR="00173EB3">
        <w:rPr>
          <w:rFonts w:ascii="Book Antiqua" w:hAnsi="Book Antiqua"/>
          <w:sz w:val="22"/>
          <w:szCs w:val="22"/>
        </w:rPr>
        <w:t>,</w:t>
      </w:r>
      <w:r w:rsidR="00173EB3" w:rsidRPr="00173EB3">
        <w:rPr>
          <w:rFonts w:ascii="Book Antiqua" w:hAnsi="Book Antiqua"/>
          <w:sz w:val="22"/>
          <w:szCs w:val="22"/>
        </w:rPr>
        <w:t xml:space="preserve"> </w:t>
      </w:r>
      <w:r w:rsidR="00173EB3">
        <w:rPr>
          <w:rFonts w:ascii="Book Antiqua" w:hAnsi="Book Antiqua"/>
          <w:sz w:val="22"/>
          <w:szCs w:val="22"/>
        </w:rPr>
        <w:t>Govt. of India</w:t>
      </w:r>
      <w:r w:rsidR="005B50A5" w:rsidRPr="004F3B17">
        <w:rPr>
          <w:rFonts w:ascii="Book Antiqua" w:hAnsi="Book Antiqua"/>
          <w:sz w:val="22"/>
          <w:szCs w:val="22"/>
        </w:rPr>
        <w:t>.</w:t>
      </w:r>
    </w:p>
    <w:p w14:paraId="041181DB"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041181DD" w14:textId="71E065A8" w:rsidR="005B50A5" w:rsidRPr="00FA62F4" w:rsidRDefault="005B50A5" w:rsidP="00A934F3">
      <w:pPr>
        <w:pStyle w:val="ListParagraph"/>
        <w:numPr>
          <w:ilvl w:val="0"/>
          <w:numId w:val="9"/>
        </w:numPr>
        <w:tabs>
          <w:tab w:val="left" w:pos="364"/>
        </w:tabs>
        <w:ind w:left="364"/>
        <w:jc w:val="both"/>
        <w:rPr>
          <w:rFonts w:ascii="Book Antiqua" w:hAnsi="Book Antiqua"/>
          <w:sz w:val="22"/>
          <w:szCs w:val="22"/>
        </w:rPr>
      </w:pPr>
      <w:r w:rsidRPr="00FA62F4">
        <w:rPr>
          <w:rFonts w:ascii="Book Antiqua" w:hAnsi="Book Antiqua"/>
          <w:sz w:val="22"/>
          <w:szCs w:val="22"/>
        </w:rPr>
        <w:t>To facilitate in making its competitive bid</w:t>
      </w:r>
      <w:r w:rsidR="00082076" w:rsidRPr="00FA62F4">
        <w:rPr>
          <w:rFonts w:ascii="Book Antiqua" w:hAnsi="Book Antiqua"/>
          <w:sz w:val="22"/>
          <w:szCs w:val="22"/>
        </w:rPr>
        <w:t xml:space="preserve"> to BPC</w:t>
      </w:r>
      <w:r w:rsidRPr="00FA62F4">
        <w:rPr>
          <w:rFonts w:ascii="Book Antiqua" w:hAnsi="Book Antiqua"/>
          <w:sz w:val="22"/>
          <w:szCs w:val="22"/>
        </w:rPr>
        <w:t xml:space="preserve">, </w:t>
      </w:r>
      <w:r w:rsidR="00082076" w:rsidRPr="00FA62F4">
        <w:rPr>
          <w:rFonts w:ascii="Book Antiqua" w:hAnsi="Book Antiqua"/>
          <w:sz w:val="22"/>
          <w:szCs w:val="22"/>
        </w:rPr>
        <w:t>POWERGRID</w:t>
      </w:r>
      <w:r w:rsidRPr="00FA62F4">
        <w:rPr>
          <w:rFonts w:ascii="Book Antiqua" w:hAnsi="Book Antiqua"/>
          <w:sz w:val="22"/>
          <w:szCs w:val="22"/>
        </w:rPr>
        <w:t xml:space="preserve"> has undertaken Invitation for Bids (</w:t>
      </w:r>
      <w:r w:rsidRPr="00FA62F4">
        <w:rPr>
          <w:rFonts w:ascii="Book Antiqua" w:hAnsi="Book Antiqua"/>
          <w:b/>
          <w:bCs/>
          <w:sz w:val="22"/>
          <w:szCs w:val="22"/>
        </w:rPr>
        <w:t>IFB</w:t>
      </w:r>
      <w:r w:rsidRPr="00FA62F4">
        <w:rPr>
          <w:rFonts w:ascii="Book Antiqua" w:hAnsi="Book Antiqua"/>
          <w:sz w:val="22"/>
          <w:szCs w:val="22"/>
        </w:rPr>
        <w:t xml:space="preserve">) process for </w:t>
      </w:r>
      <w:r w:rsidR="00EE368B" w:rsidRPr="00EE368B">
        <w:rPr>
          <w:rFonts w:ascii="Book Antiqua" w:hAnsi="Book Antiqua" w:cs="Arial"/>
          <w:b/>
          <w:bCs/>
          <w:sz w:val="22"/>
          <w:szCs w:val="22"/>
          <w:lang w:bidi="hi-IN"/>
        </w:rPr>
        <w:t xml:space="preserve">Pre Bid Tie up for 765kV GIS substation Package SS 101T under “Transmission system for proposed Green Hydrogen / Green Ammonia projects in Kakinada area (Phase-I) area” through tariff based competitive bidding (TBCB) route prior to </w:t>
      </w:r>
      <w:proofErr w:type="spellStart"/>
      <w:r w:rsidR="00EE368B" w:rsidRPr="00EE368B">
        <w:rPr>
          <w:rFonts w:ascii="Book Antiqua" w:hAnsi="Book Antiqua" w:cs="Arial"/>
          <w:b/>
          <w:bCs/>
          <w:sz w:val="22"/>
          <w:szCs w:val="22"/>
          <w:lang w:bidi="hi-IN"/>
        </w:rPr>
        <w:t>RfP</w:t>
      </w:r>
      <w:proofErr w:type="spellEnd"/>
      <w:r w:rsidR="00EE368B" w:rsidRPr="00EE368B">
        <w:rPr>
          <w:rFonts w:ascii="Book Antiqua" w:hAnsi="Book Antiqua" w:cs="Arial"/>
          <w:b/>
          <w:bCs/>
          <w:sz w:val="22"/>
          <w:szCs w:val="22"/>
          <w:lang w:bidi="hi-IN"/>
        </w:rPr>
        <w:t xml:space="preserve"> bid submission by POWERGRID to BPC; Specification No. CC/T/W-GIS/DOM/A10/25/01551</w:t>
      </w:r>
      <w:r w:rsidR="00FA62F4">
        <w:rPr>
          <w:rFonts w:ascii="Book Antiqua" w:hAnsi="Book Antiqua" w:cs="Arial"/>
          <w:b/>
          <w:bCs/>
          <w:sz w:val="22"/>
          <w:szCs w:val="22"/>
          <w:lang w:bidi="hi-IN"/>
        </w:rPr>
        <w:t>.</w:t>
      </w:r>
    </w:p>
    <w:p w14:paraId="7F13EDC9" w14:textId="77777777" w:rsidR="00FA62F4" w:rsidRPr="00FA62F4" w:rsidRDefault="00FA62F4" w:rsidP="00FA62F4">
      <w:pPr>
        <w:pStyle w:val="ListParagraph"/>
        <w:rPr>
          <w:rFonts w:ascii="Book Antiqua" w:hAnsi="Book Antiqua"/>
          <w:sz w:val="22"/>
          <w:szCs w:val="22"/>
        </w:rPr>
      </w:pPr>
    </w:p>
    <w:p w14:paraId="5F41EC52" w14:textId="77777777" w:rsidR="00FA62F4" w:rsidRPr="00FA62F4"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041181DF" w14:textId="77777777" w:rsidR="005B50A5" w:rsidRDefault="005B50A5" w:rsidP="005B50A5">
      <w:pPr>
        <w:pStyle w:val="ListParagraph"/>
        <w:rPr>
          <w:rFonts w:ascii="Book Antiqua" w:hAnsi="Book Antiqua"/>
          <w:sz w:val="22"/>
          <w:szCs w:val="22"/>
        </w:rPr>
      </w:pPr>
    </w:p>
    <w:p w14:paraId="48F84BEF" w14:textId="77777777" w:rsidR="009A4732" w:rsidRPr="004F3B17" w:rsidRDefault="009A4732" w:rsidP="005B50A5">
      <w:pPr>
        <w:pStyle w:val="ListParagraph"/>
        <w:rPr>
          <w:rFonts w:ascii="Book Antiqua" w:hAnsi="Book Antiqua"/>
          <w:sz w:val="22"/>
          <w:szCs w:val="22"/>
        </w:rPr>
      </w:pPr>
    </w:p>
    <w:p w14:paraId="041181E0"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041181E2" w14:textId="77777777" w:rsidR="005B50A5" w:rsidRPr="004F3B17" w:rsidRDefault="005B50A5" w:rsidP="005B50A5">
      <w:pPr>
        <w:pStyle w:val="ListParagraph"/>
        <w:tabs>
          <w:tab w:val="left" w:pos="364"/>
        </w:tabs>
        <w:ind w:left="364"/>
        <w:jc w:val="both"/>
        <w:rPr>
          <w:rFonts w:ascii="Book Antiqua" w:hAnsi="Book Antiqua"/>
          <w:sz w:val="22"/>
          <w:szCs w:val="22"/>
        </w:rPr>
      </w:pPr>
    </w:p>
    <w:p w14:paraId="041181E3" w14:textId="43FF8FD5" w:rsidR="00402302" w:rsidRPr="004F3B17" w:rsidRDefault="005B50A5" w:rsidP="00F06A97">
      <w:pPr>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1A1AAE" w:rsidRPr="001A1AAE">
        <w:rPr>
          <w:rFonts w:ascii="Book Antiqua" w:hAnsi="Book Antiqua" w:cs="Arial"/>
          <w:b/>
          <w:bCs/>
          <w:sz w:val="22"/>
          <w:szCs w:val="22"/>
          <w:lang w:bidi="hi-IN"/>
        </w:rPr>
        <w:t xml:space="preserve">Pre Bid Tie up for 765kV GIS substation Package SS 101T under “Transmission system for proposed Green Hydrogen / Green Ammonia projects in Kakinada area (Phase-I) area” through tariff based competitive bidding (TBCB) route prior to </w:t>
      </w:r>
      <w:proofErr w:type="spellStart"/>
      <w:r w:rsidR="001A1AAE" w:rsidRPr="001A1AAE">
        <w:rPr>
          <w:rFonts w:ascii="Book Antiqua" w:hAnsi="Book Antiqua" w:cs="Arial"/>
          <w:b/>
          <w:bCs/>
          <w:sz w:val="22"/>
          <w:szCs w:val="22"/>
          <w:lang w:bidi="hi-IN"/>
        </w:rPr>
        <w:t>RfP</w:t>
      </w:r>
      <w:proofErr w:type="spellEnd"/>
      <w:r w:rsidR="001A1AAE" w:rsidRPr="001A1AAE">
        <w:rPr>
          <w:rFonts w:ascii="Book Antiqua" w:hAnsi="Book Antiqua" w:cs="Arial"/>
          <w:b/>
          <w:bCs/>
          <w:sz w:val="22"/>
          <w:szCs w:val="22"/>
          <w:lang w:bidi="hi-IN"/>
        </w:rPr>
        <w:t xml:space="preserve"> bid submission by POWERGRID to BPC; Specification No. CC/T/W-GIS/DOM/A10/25/01551</w:t>
      </w:r>
      <w:r w:rsidR="001A1AAE">
        <w:rPr>
          <w:rFonts w:ascii="Book Antiqua" w:hAnsi="Book Antiqua" w:cs="Arial"/>
          <w:b/>
          <w:bCs/>
          <w:sz w:val="22"/>
          <w:szCs w:val="22"/>
          <w:lang w:bidi="hi-IN"/>
        </w:rPr>
        <w:t xml:space="preserve"> </w:t>
      </w:r>
      <w:r w:rsidRPr="004F3B17">
        <w:rPr>
          <w:rFonts w:ascii="Book Antiqua" w:hAnsi="Book Antiqua"/>
          <w:sz w:val="22"/>
          <w:szCs w:val="22"/>
        </w:rPr>
        <w:t>as follows:</w:t>
      </w:r>
    </w:p>
    <w:p w14:paraId="041181E4" w14:textId="77777777" w:rsidR="004F3B17" w:rsidRPr="004F3B17" w:rsidRDefault="004F3B17" w:rsidP="008501A8">
      <w:pPr>
        <w:spacing w:after="180"/>
        <w:jc w:val="both"/>
        <w:rPr>
          <w:rFonts w:ascii="Book Antiqua" w:hAnsi="Book Antiqua"/>
          <w:sz w:val="22"/>
          <w:szCs w:val="22"/>
        </w:rPr>
      </w:pPr>
    </w:p>
    <w:p w14:paraId="041181E5"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041181E6"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w:t>
      </w:r>
      <w:proofErr w:type="gramStart"/>
      <w:r w:rsidRPr="004F3B17">
        <w:rPr>
          <w:rFonts w:ascii="Book Antiqua" w:hAnsi="Book Antiqua"/>
          <w:sz w:val="22"/>
          <w:szCs w:val="22"/>
        </w:rPr>
        <w:t>Disclosing</w:t>
      </w:r>
      <w:proofErr w:type="gramEnd"/>
      <w:r w:rsidRPr="004F3B17">
        <w:rPr>
          <w:rFonts w:ascii="Book Antiqua" w:hAnsi="Book Antiqua"/>
          <w:sz w:val="22"/>
          <w:szCs w:val="22"/>
        </w:rPr>
        <w:t xml:space="preserve">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041181E7"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041181E9"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proofErr w:type="gramStart"/>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becomes</w:t>
      </w:r>
      <w:proofErr w:type="gramEnd"/>
      <w:r w:rsidR="0032624B" w:rsidRPr="004F3B17">
        <w:rPr>
          <w:rFonts w:ascii="Book Antiqua" w:hAnsi="Book Antiqua"/>
          <w:sz w:val="22"/>
          <w:szCs w:val="22"/>
        </w:rPr>
        <w:t xml:space="preserve">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041181E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041181EB"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proofErr w:type="gramStart"/>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is</w:t>
      </w:r>
      <w:proofErr w:type="gramEnd"/>
      <w:r w:rsidR="0032624B" w:rsidRPr="004F3B17">
        <w:rPr>
          <w:rFonts w:ascii="Book Antiqua" w:hAnsi="Book Antiqua"/>
          <w:sz w:val="22"/>
          <w:szCs w:val="22"/>
        </w:rPr>
        <w:t xml:space="preserve">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041181ED" w14:textId="60E63B74" w:rsidR="00784F5B" w:rsidRDefault="00E13127" w:rsidP="000B73A0">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041181EE"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041181EF"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41181F0"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041181F1"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041181F2"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w:t>
      </w:r>
      <w:proofErr w:type="gramEnd"/>
      <w:r w:rsidRPr="004F3B17">
        <w:rPr>
          <w:rFonts w:ascii="Book Antiqua" w:hAnsi="Book Antiqua"/>
          <w:sz w:val="22"/>
          <w:szCs w:val="22"/>
        </w:rPr>
        <w:t xml:space="preserv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041181F3"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keep</w:t>
      </w:r>
      <w:proofErr w:type="gramEnd"/>
      <w:r w:rsidRPr="004F3B17">
        <w:rPr>
          <w:rFonts w:ascii="Book Antiqua" w:hAnsi="Book Antiqua"/>
          <w:sz w:val="22"/>
          <w:szCs w:val="22"/>
        </w:rPr>
        <w:t xml:space="preserve"> all Confidential Information strictly confidential by using a reasonable degree of care, but not less than the degree of care used by it in safeguarding its own confidential information; and </w:t>
      </w:r>
    </w:p>
    <w:p w14:paraId="041181F4"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proofErr w:type="gramStart"/>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not</w:t>
      </w:r>
      <w:proofErr w:type="gramEnd"/>
      <w:r w:rsidRPr="004F3B17">
        <w:rPr>
          <w:rFonts w:ascii="Book Antiqua" w:hAnsi="Book Antiqua"/>
          <w:sz w:val="22"/>
          <w:szCs w:val="22"/>
        </w:rPr>
        <w:t xml:space="preserve">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041181F6" w14:textId="77777777" w:rsidR="00784F5B"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41181F8"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w:t>
      </w:r>
      <w:proofErr w:type="gramStart"/>
      <w:r w:rsidRPr="004F3B17">
        <w:rPr>
          <w:rFonts w:ascii="Book Antiqua" w:hAnsi="Book Antiqua"/>
          <w:sz w:val="22"/>
          <w:szCs w:val="22"/>
        </w:rPr>
        <w:t>the Confidential</w:t>
      </w:r>
      <w:proofErr w:type="gramEnd"/>
      <w:r w:rsidRPr="004F3B17">
        <w:rPr>
          <w:rFonts w:ascii="Book Antiqua" w:hAnsi="Book Antiqua"/>
          <w:sz w:val="22"/>
          <w:szCs w:val="22"/>
        </w:rPr>
        <w:t xml:space="preserve">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w:t>
      </w:r>
      <w:proofErr w:type="gramStart"/>
      <w:r w:rsidRPr="004F3B17">
        <w:rPr>
          <w:rFonts w:ascii="Book Antiqua" w:hAnsi="Book Antiqua"/>
          <w:sz w:val="22"/>
          <w:szCs w:val="22"/>
        </w:rPr>
        <w:t>Title</w:t>
      </w:r>
      <w:proofErr w:type="gramEnd"/>
      <w:r w:rsidRPr="004F3B17">
        <w:rPr>
          <w:rFonts w:ascii="Book Antiqua" w:hAnsi="Book Antiqua"/>
          <w:sz w:val="22"/>
          <w:szCs w:val="22"/>
        </w:rPr>
        <w:t xml:space="preserve"> </w:t>
      </w:r>
      <w:r w:rsidRPr="004F3B17">
        <w:rPr>
          <w:rFonts w:ascii="Book Antiqua" w:hAnsi="Book Antiqua"/>
          <w:sz w:val="22"/>
          <w:szCs w:val="22"/>
        </w:rPr>
        <w:lastRenderedPageBreak/>
        <w:t>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41181F9"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041181FB"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041181FC" w14:textId="77777777" w:rsidR="00402302" w:rsidRPr="004F3B17" w:rsidRDefault="00402302">
      <w:pPr>
        <w:jc w:val="both"/>
        <w:rPr>
          <w:rFonts w:ascii="Book Antiqua" w:hAnsi="Book Antiqua"/>
          <w:sz w:val="22"/>
          <w:szCs w:val="22"/>
        </w:rPr>
      </w:pPr>
    </w:p>
    <w:p w14:paraId="041181FD"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041181FE"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041181FF"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04118201"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4F3B17">
        <w:rPr>
          <w:rFonts w:ascii="Book Antiqua" w:hAnsi="Book Antiqua"/>
          <w:color w:val="000000"/>
          <w:sz w:val="22"/>
          <w:szCs w:val="22"/>
        </w:rPr>
        <w:t>damages</w:t>
      </w:r>
      <w:proofErr w:type="gramEnd"/>
      <w:r w:rsidRPr="004F3B17">
        <w:rPr>
          <w:rFonts w:ascii="Book Antiqua" w:hAnsi="Book Antiqua"/>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w:t>
      </w:r>
      <w:proofErr w:type="gramStart"/>
      <w:r w:rsidRPr="004F3B17">
        <w:rPr>
          <w:rFonts w:ascii="Book Antiqua" w:hAnsi="Book Antiqua"/>
          <w:color w:val="000000"/>
          <w:sz w:val="22"/>
          <w:szCs w:val="22"/>
        </w:rPr>
        <w:t>Disclosing</w:t>
      </w:r>
      <w:proofErr w:type="gramEnd"/>
      <w:r w:rsidRPr="004F3B17">
        <w:rPr>
          <w:rFonts w:ascii="Book Antiqua" w:hAnsi="Book Antiqua"/>
          <w:color w:val="000000"/>
          <w:sz w:val="22"/>
          <w:szCs w:val="22"/>
        </w:rPr>
        <w:t xml:space="preserve"> Party shall be entitled to recover its costs and fees, including attorneys’ fees, incurred in obtaining any such relief.</w:t>
      </w:r>
      <w:r w:rsidRPr="004F3B17">
        <w:rPr>
          <w:rFonts w:ascii="Book Antiqua" w:hAnsi="Book Antiqua"/>
          <w:sz w:val="22"/>
          <w:szCs w:val="22"/>
        </w:rPr>
        <w:t xml:space="preserve">  Further, in the event of litigation </w:t>
      </w:r>
      <w:r w:rsidRPr="004F3B17">
        <w:rPr>
          <w:rFonts w:ascii="Book Antiqua" w:hAnsi="Book Antiqua"/>
          <w:sz w:val="22"/>
          <w:szCs w:val="22"/>
        </w:rPr>
        <w:lastRenderedPageBreak/>
        <w:t xml:space="preserve">relating to this Agreement, the prevailing party shall be entitled to recover its reasonable attorney’s fees and expenses. </w:t>
      </w:r>
    </w:p>
    <w:p w14:paraId="04118202"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04118203"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proofErr w:type="gramStart"/>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w:t>
      </w:r>
      <w:proofErr w:type="gramEnd"/>
      <w:r w:rsidR="00DB27C9" w:rsidRPr="004F3B17">
        <w:rPr>
          <w:rFonts w:ascii="Book Antiqua" w:hAnsi="Book Antiqua"/>
          <w:b/>
          <w:bCs/>
          <w:sz w:val="22"/>
          <w:szCs w:val="22"/>
          <w:u w:val="single"/>
        </w:rPr>
        <w:t xml:space="preserve"> Binding Agreement for Transaction</w:t>
      </w:r>
      <w:r w:rsidR="00DB27C9" w:rsidRPr="004F3B17">
        <w:rPr>
          <w:rFonts w:ascii="Book Antiqua" w:hAnsi="Book Antiqua"/>
          <w:sz w:val="22"/>
          <w:szCs w:val="22"/>
        </w:rPr>
        <w:t xml:space="preserve"> </w:t>
      </w:r>
    </w:p>
    <w:p w14:paraId="0411820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0411820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04118209"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0411820A"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0411820B"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4F3B17" w:rsidRDefault="00DB27C9" w:rsidP="00D31634">
      <w:pPr>
        <w:spacing w:after="180"/>
        <w:ind w:left="1170" w:hanging="630"/>
        <w:jc w:val="both"/>
        <w:rPr>
          <w:rFonts w:ascii="Book Antiqua" w:hAnsi="Book Antiqua"/>
          <w:sz w:val="22"/>
          <w:szCs w:val="22"/>
        </w:rPr>
      </w:pPr>
      <w:proofErr w:type="gramStart"/>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Any</w:t>
      </w:r>
      <w:proofErr w:type="gramEnd"/>
      <w:r w:rsidRPr="004F3B17">
        <w:rPr>
          <w:rFonts w:ascii="Book Antiqua" w:hAnsi="Book Antiqua"/>
          <w:sz w:val="22"/>
          <w:szCs w:val="22"/>
        </w:rPr>
        <w:t xml:space="preserve">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542C4A">
        <w:rPr>
          <w:rFonts w:ascii="Book Antiqua" w:hAnsi="Book Antiqua"/>
          <w:sz w:val="22"/>
          <w:szCs w:val="22"/>
        </w:rPr>
        <w:t>a proof</w:t>
      </w:r>
      <w:proofErr w:type="gramEnd"/>
      <w:r w:rsidR="00542C4A" w:rsidRPr="00542C4A">
        <w:rPr>
          <w:rFonts w:ascii="Book Antiqua" w:hAnsi="Book Antiqua"/>
          <w:sz w:val="22"/>
          <w:szCs w:val="22"/>
        </w:rPr>
        <w:t xml:space="preserve"> of delivery, the same shall also be applicable for presenting the fact of dispatch.</w:t>
      </w:r>
    </w:p>
    <w:p w14:paraId="0411820E"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6D4FED">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04118212" w14:textId="77777777" w:rsidR="00784F5B" w:rsidRDefault="00784F5B" w:rsidP="00D31634">
      <w:pPr>
        <w:pStyle w:val="BodyTextIndent2"/>
        <w:spacing w:after="180"/>
        <w:ind w:left="1170" w:hanging="630"/>
        <w:rPr>
          <w:rFonts w:ascii="Book Antiqua" w:hAnsi="Book Antiqua"/>
          <w:sz w:val="22"/>
          <w:szCs w:val="22"/>
        </w:rPr>
      </w:pPr>
    </w:p>
    <w:p w14:paraId="04118213"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04118214" w14:textId="77777777" w:rsidR="00083E29" w:rsidRDefault="00083E29" w:rsidP="00D31634">
      <w:pPr>
        <w:spacing w:after="180"/>
        <w:ind w:left="540"/>
        <w:jc w:val="both"/>
        <w:rPr>
          <w:rFonts w:ascii="Book Antiqua" w:hAnsi="Book Antiqua"/>
          <w:sz w:val="22"/>
          <w:szCs w:val="22"/>
        </w:rPr>
      </w:pPr>
    </w:p>
    <w:p w14:paraId="04118215"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FF2E27" w14:paraId="0411821C" w14:textId="77777777" w:rsidTr="007A21F0">
        <w:trPr>
          <w:trHeight w:val="1232"/>
        </w:trPr>
        <w:tc>
          <w:tcPr>
            <w:tcW w:w="4500" w:type="dxa"/>
          </w:tcPr>
          <w:p w14:paraId="04118216"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0411821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p w14:paraId="04118218" w14:textId="77777777" w:rsidR="00D0006F" w:rsidRPr="00083E29" w:rsidRDefault="00D0006F" w:rsidP="00940632">
            <w:pPr>
              <w:jc w:val="both"/>
              <w:rPr>
                <w:rFonts w:ascii="Book Antiqua" w:hAnsi="Book Antiqua"/>
                <w:sz w:val="22"/>
                <w:szCs w:val="22"/>
              </w:rPr>
            </w:pPr>
          </w:p>
          <w:p w14:paraId="04118219" w14:textId="77777777" w:rsidR="00D0006F" w:rsidRPr="00083E29" w:rsidRDefault="00D0006F" w:rsidP="00940632">
            <w:pPr>
              <w:jc w:val="both"/>
              <w:rPr>
                <w:rFonts w:ascii="Book Antiqua" w:hAnsi="Book Antiqua"/>
                <w:sz w:val="22"/>
                <w:szCs w:val="22"/>
              </w:rPr>
            </w:pPr>
          </w:p>
        </w:tc>
        <w:tc>
          <w:tcPr>
            <w:tcW w:w="4140" w:type="dxa"/>
          </w:tcPr>
          <w:p w14:paraId="041182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0411821B"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0411821D" w14:textId="77777777" w:rsidR="00402302" w:rsidRDefault="00DB27C9">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14:paraId="0411821E" w14:textId="77777777" w:rsidR="00402302" w:rsidRDefault="00402302">
      <w:pPr>
        <w:spacing w:after="180"/>
        <w:jc w:val="both"/>
        <w:rPr>
          <w:sz w:val="22"/>
        </w:rPr>
      </w:pPr>
    </w:p>
    <w:sectPr w:rsidR="00402302">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A1AAE"/>
    <w:rsid w:val="001C4F00"/>
    <w:rsid w:val="001D2292"/>
    <w:rsid w:val="001F0B9A"/>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42C4A"/>
    <w:rsid w:val="005553FB"/>
    <w:rsid w:val="005A24E2"/>
    <w:rsid w:val="005B50A5"/>
    <w:rsid w:val="005B7D62"/>
    <w:rsid w:val="005C6437"/>
    <w:rsid w:val="005D229D"/>
    <w:rsid w:val="005E6B6B"/>
    <w:rsid w:val="006156C6"/>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240A4"/>
    <w:rsid w:val="00A678D7"/>
    <w:rsid w:val="00AC6925"/>
    <w:rsid w:val="00AE3E61"/>
    <w:rsid w:val="00AE44CE"/>
    <w:rsid w:val="00B419E7"/>
    <w:rsid w:val="00B96C5B"/>
    <w:rsid w:val="00BD26D0"/>
    <w:rsid w:val="00BE475A"/>
    <w:rsid w:val="00BE759E"/>
    <w:rsid w:val="00C07A35"/>
    <w:rsid w:val="00C15D8C"/>
    <w:rsid w:val="00C2019C"/>
    <w:rsid w:val="00C82B44"/>
    <w:rsid w:val="00CB4ED6"/>
    <w:rsid w:val="00CE0161"/>
    <w:rsid w:val="00CF113D"/>
    <w:rsid w:val="00D0006F"/>
    <w:rsid w:val="00D31634"/>
    <w:rsid w:val="00D3497D"/>
    <w:rsid w:val="00D4708B"/>
    <w:rsid w:val="00D56116"/>
    <w:rsid w:val="00DB27C9"/>
    <w:rsid w:val="00DB7433"/>
    <w:rsid w:val="00DD5A3C"/>
    <w:rsid w:val="00DD71EF"/>
    <w:rsid w:val="00DD7A29"/>
    <w:rsid w:val="00DE6003"/>
    <w:rsid w:val="00E109C2"/>
    <w:rsid w:val="00E13127"/>
    <w:rsid w:val="00E160D5"/>
    <w:rsid w:val="00E2667D"/>
    <w:rsid w:val="00E779EC"/>
    <w:rsid w:val="00ED059F"/>
    <w:rsid w:val="00EE368B"/>
    <w:rsid w:val="00EE762D"/>
    <w:rsid w:val="00EF012C"/>
    <w:rsid w:val="00F05981"/>
    <w:rsid w:val="00F06A97"/>
    <w:rsid w:val="00F9791C"/>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7</Pages>
  <Words>2596</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Akhilesh Kumar Singh {अखिलेश कुमार सिंह}</cp:lastModifiedBy>
  <cp:revision>63</cp:revision>
  <cp:lastPrinted>2023-02-09T05:48:00Z</cp:lastPrinted>
  <dcterms:created xsi:type="dcterms:W3CDTF">2013-11-13T21:59:00Z</dcterms:created>
  <dcterms:modified xsi:type="dcterms:W3CDTF">2025-02-10T06:50:00Z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