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2D8B7D7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0A19F2" w:rsidRPr="000A19F2">
        <w:rPr>
          <w:rFonts w:ascii="Aptos" w:hAnsi="Aptos"/>
          <w:b/>
          <w:bCs/>
          <w:i/>
          <w:iCs/>
          <w:sz w:val="18"/>
          <w:szCs w:val="18"/>
        </w:rPr>
        <w:t>CC/T/W-TW/DOM/A01/25/10864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A041BF">
        <w:rPr>
          <w:rFonts w:ascii="Aptos" w:hAnsi="Aptos"/>
          <w:b/>
          <w:bCs/>
          <w:i/>
          <w:iCs/>
          <w:sz w:val="18"/>
          <w:szCs w:val="18"/>
        </w:rPr>
        <w:t>2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A041BF">
        <w:rPr>
          <w:rFonts w:ascii="Aptos" w:hAnsi="Aptos" w:cs="Courier New"/>
          <w:b/>
          <w:i/>
          <w:iCs/>
          <w:sz w:val="18"/>
          <w:szCs w:val="18"/>
          <w:lang w:val="en-GB"/>
        </w:rPr>
        <w:t>1</w:t>
      </w:r>
      <w:r w:rsidR="000A19F2">
        <w:rPr>
          <w:rFonts w:ascii="Aptos" w:hAnsi="Aptos" w:cs="Courier New"/>
          <w:b/>
          <w:i/>
          <w:iCs/>
          <w:sz w:val="18"/>
          <w:szCs w:val="18"/>
          <w:lang w:val="en-GB"/>
        </w:rPr>
        <w:t>2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0A19F2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3789D">
        <w:rPr>
          <w:rStyle w:val="Hyperlink"/>
          <w:rFonts w:ascii="Aptos" w:eastAsia="Times New Roman" w:hAnsi="Aptos" w:cs="Nirmala UI"/>
          <w:i/>
          <w:iCs/>
          <w:sz w:val="18"/>
          <w:szCs w:val="18"/>
          <w:lang w:val="en" w:eastAsia="en-IN"/>
        </w:rPr>
        <w:t>https://etender.powergrid.in</w:t>
      </w:r>
      <w:r>
        <w:fldChar w:fldCharType="end"/>
      </w:r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3483E6C5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0A19F2">
        <w:rPr>
          <w:rFonts w:ascii="Aptos" w:hAnsi="Aptos" w:cs="Arial"/>
          <w:b/>
          <w:bCs/>
          <w:sz w:val="18"/>
          <w:szCs w:val="18"/>
        </w:rPr>
        <w:tab/>
      </w:r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Pre-Bid Tie up for Transmission Line Package TL01 for 400kV DC line (Quad moose conductor) from Prop. 400/220 kV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Ryapte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Substation to Prop. 400/220 kV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Doddathaggalli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S/s associated with Intra-State transmission system for “Evacuation Scheme for 2000MW solar park at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Ryapte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Village, Tumkur District” through Tariff Based Competitive Bidding (TBCB) route prior to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</w:t>
      </w:r>
      <w:proofErr w:type="gram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BPC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proofErr w:type="gramEnd"/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1AABA8F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0A19F2" w:rsidRPr="000A19F2">
        <w:rPr>
          <w:rFonts w:ascii="Aptos" w:hAnsi="Aptos" w:cs="Arial"/>
          <w:b/>
          <w:sz w:val="18"/>
          <w:szCs w:val="18"/>
          <w:lang w:val="en-GB"/>
        </w:rPr>
        <w:t>CC/T/W-TW/DOM/A01/25/10864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9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041BF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31EB9D03" w14:textId="77777777" w:rsidR="00A041BF" w:rsidRPr="00E1295F" w:rsidRDefault="00A041BF" w:rsidP="00A041B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36F35914" w14:textId="77777777" w:rsidR="00A041BF" w:rsidRPr="00A83560" w:rsidRDefault="00A041BF" w:rsidP="00A041B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10/09/2025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0AD17B4" w14:textId="77777777" w:rsidR="00A041BF" w:rsidRPr="00A83560" w:rsidRDefault="00A041BF" w:rsidP="00A041B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7B731A25" w14:textId="77777777" w:rsidR="00A041BF" w:rsidRPr="00E5303D" w:rsidRDefault="00A041BF" w:rsidP="00A041BF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09BF01C5" w14:textId="77777777" w:rsidR="00A041BF" w:rsidRPr="00A83560" w:rsidRDefault="00A041BF" w:rsidP="00A041B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7FB38DA6" w14:textId="77777777" w:rsidR="00A041BF" w:rsidRPr="00A83560" w:rsidRDefault="00A041BF" w:rsidP="00A041B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64E0428" w:rsidR="00A041BF" w:rsidRPr="00E1295F" w:rsidRDefault="00A041BF" w:rsidP="00A041B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12/09/2025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A041BF" w:rsidRPr="00E1295F" w:rsidRDefault="00A041BF" w:rsidP="00A041B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5F9B6AD8" w:rsidR="00A041BF" w:rsidRPr="00A83560" w:rsidRDefault="00A041BF" w:rsidP="00A041B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17/09/2025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A041BF" w:rsidRPr="00A83560" w:rsidRDefault="00A041BF" w:rsidP="00A041B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A041BF" w:rsidRPr="00E5303D" w:rsidRDefault="00A041BF" w:rsidP="00A041BF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A041BF" w:rsidRPr="00A83560" w:rsidRDefault="00A041BF" w:rsidP="00A041B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A041BF" w:rsidRPr="00A83560" w:rsidRDefault="00A041BF" w:rsidP="00A041B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19234C13" w:rsidR="00A041BF" w:rsidRPr="00E1295F" w:rsidRDefault="00A041BF" w:rsidP="00A041B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19/09/2025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A041BF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9.5pt;height:39.15pt">
            <v:imagedata r:id="rId11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2"/>
      <w:footerReference w:type="default" r:id="rId13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19F2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156A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11F26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59AC"/>
    <w:rsid w:val="009F131A"/>
    <w:rsid w:val="00A017CE"/>
    <w:rsid w:val="00A041BF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KKldp3CZdW1b10sPyhQSpisBWuPpk2/XE4/yhLu3WNc=</DigestValue>
    </Reference>
    <Reference Type="http://www.w3.org/2000/09/xmldsig#Object" URI="#idOfficeObject">
      <DigestMethod Algorithm="http://www.w3.org/2001/04/xmlenc#sha256"/>
      <DigestValue>JVSlx0XB2PppFxYcmC9dKcYJzm9YjsFCZuX/vDxLnDU=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9Qpq1LKI5YZR8gG4C290mWhEL9Sr4J6T+hqbFric4nY=</DigestValue>
    </Reference>
    <Reference Type="http://www.w3.org/2000/09/xmldsig#Object" URI="#idValidSigLnImg">
      <DigestMethod Algorithm="http://www.w3.org/2001/04/xmlenc#sha256"/>
      <DigestValue>Gbzwi08oJjFAIL9TAYTasTo0YTUrkiLgtOhq4VCLnhM=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NiFoph+MLrlAx38f77phOmRZECyBHjaZlbWtWutIM9VDUCEGrBhPPrXGeDGgIdtyVJ9y0e1EpQss
tXF9IwIKgkKndejWTdFa1H3hDYsgKPeVVhFIScOBoYpb488Op0i/O+wTKXY1Xu3cPuZ+POxV/plj
itt00olbJih5BWm2i5Ph/z3ID1T8whf1HeGasSREbWcwqAy/8xngO3fK20Lo4ciWdA/+BUWYH1Hm
MwYD9FvFNIWAA8DUno+7xxtziyNT5ukrApuel3zYHjkqEg86U7QcQ4JkgN+JPJmET2jRYHunuPjo
5PkJmZTLgOb9YsC5CFjt2YcOhXVelYPcUvHGpg==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O8ukBkv3mzEUwtZXa/1flnr7hzZPxYbCHcHc4lafuJc=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CUdgWSVoOc9mbvWLBixI/sV/spgBI6UtDbvy6RsYoGY=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2025-09-12T05:41:28Z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2025-09-12T05:41:28Z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166</cp:revision>
  <cp:lastPrinted>2024-07-10T03:11:00Z</cp:lastPrinted>
  <dcterms:created xsi:type="dcterms:W3CDTF">2023-05-10T13:11:00Z</dcterms:created>
  <dcterms:modified xsi:type="dcterms:W3CDTF">2025-09-12T05:41:00Z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