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477C4FE7" w14:textId="77777777" w:rsidR="00146169" w:rsidRPr="00D32E13" w:rsidRDefault="00146169" w:rsidP="00146169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25.01.2026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07122F08" w14:textId="77777777" w:rsidR="00146169" w:rsidRPr="00D32E13" w:rsidRDefault="00146169" w:rsidP="00146169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5FA30A3D" w14:textId="77777777" w:rsidR="00146169" w:rsidRPr="00D32E13" w:rsidRDefault="00146169" w:rsidP="00146169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CCCB92E" w14:textId="77777777" w:rsidR="00146169" w:rsidRPr="00D32E13" w:rsidRDefault="00146169" w:rsidP="00146169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4E8C638" w:rsidR="00AC3837" w:rsidRPr="00D32E13" w:rsidRDefault="00146169" w:rsidP="00146169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27.01.2026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5C6F8156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146169">
              <w:rPr>
                <w:rFonts w:ascii="Arial Nova" w:hAnsi="Arial Nova" w:cstheme="majorBidi"/>
                <w:sz w:val="20"/>
              </w:rPr>
              <w:t>01.02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E2E9C1D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146169">
              <w:rPr>
                <w:rFonts w:ascii="Arial Nova" w:hAnsi="Arial Nova" w:cstheme="majorBidi"/>
                <w:sz w:val="20"/>
              </w:rPr>
              <w:t>0</w:t>
            </w:r>
            <w:r w:rsidR="004F38E3">
              <w:rPr>
                <w:rFonts w:ascii="Arial Nova" w:hAnsi="Arial Nova" w:cstheme="majorBidi"/>
                <w:sz w:val="20"/>
              </w:rPr>
              <w:t>3</w:t>
            </w:r>
            <w:r w:rsidR="00146169">
              <w:rPr>
                <w:rFonts w:ascii="Arial Nova" w:hAnsi="Arial Nova" w:cstheme="majorBidi"/>
                <w:sz w:val="20"/>
              </w:rPr>
              <w:t>.02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1880" w14:textId="77777777" w:rsidR="00AC5A42" w:rsidRDefault="00AC5A42" w:rsidP="00B16323">
      <w:pPr>
        <w:spacing w:after="0" w:line="240" w:lineRule="auto"/>
      </w:pPr>
      <w:r>
        <w:separator/>
      </w:r>
    </w:p>
  </w:endnote>
  <w:endnote w:type="continuationSeparator" w:id="0">
    <w:p w14:paraId="24B0AE1C" w14:textId="77777777" w:rsidR="00AC5A42" w:rsidRDefault="00AC5A4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69F9" w14:textId="77777777" w:rsidR="00AC5A42" w:rsidRDefault="00AC5A42" w:rsidP="00B16323">
      <w:pPr>
        <w:spacing w:after="0" w:line="240" w:lineRule="auto"/>
      </w:pPr>
      <w:r>
        <w:separator/>
      </w:r>
    </w:p>
  </w:footnote>
  <w:footnote w:type="continuationSeparator" w:id="0">
    <w:p w14:paraId="50E20FC9" w14:textId="77777777" w:rsidR="00AC5A42" w:rsidRDefault="00AC5A4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158</Words>
  <Characters>815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Arun Kumar {अरुण कुमार}</cp:lastModifiedBy>
  <cp:revision>159</cp:revision>
  <cp:lastPrinted>2024-01-08T07:31:00Z</cp:lastPrinted>
  <dcterms:created xsi:type="dcterms:W3CDTF">2023-05-10T13:11:00Z</dcterms:created>
  <dcterms:modified xsi:type="dcterms:W3CDTF">2026-01-27T05:59:00Z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