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F3F" w:rsidRPr="0038215A" w:rsidRDefault="00DC6F3F" w:rsidP="00DC6F3F">
      <w:pPr>
        <w:tabs>
          <w:tab w:val="right" w:pos="9639"/>
        </w:tabs>
        <w:ind w:right="-290"/>
        <w:jc w:val="both"/>
        <w:rPr>
          <w:rFonts w:ascii="Times New Roman" w:hAnsi="Times New Roman"/>
          <w:b/>
          <w:bCs/>
          <w:szCs w:val="24"/>
        </w:rPr>
      </w:pPr>
      <w:bookmarkStart w:id="0" w:name="_GoBack"/>
      <w:r w:rsidRPr="0038215A">
        <w:rPr>
          <w:rFonts w:ascii="Times New Roman" w:hAnsi="Times New Roman"/>
          <w:b/>
          <w:bCs/>
          <w:szCs w:val="24"/>
        </w:rPr>
        <w:t>Clarification No. 7</w:t>
      </w:r>
    </w:p>
    <w:bookmarkEnd w:id="0"/>
    <w:p w:rsidR="00DC6F3F" w:rsidRDefault="00DC6F3F" w:rsidP="00DC6F3F">
      <w:pPr>
        <w:ind w:left="408" w:right="78" w:hanging="360"/>
        <w:rPr>
          <w:rFonts w:ascii="Arial" w:hAnsi="Arial" w:cs="Arial"/>
          <w:b/>
          <w:bCs/>
        </w:rPr>
      </w:pPr>
      <w:r w:rsidRPr="005A32D2">
        <w:rPr>
          <w:rFonts w:ascii="Arial" w:hAnsi="Arial" w:cs="Arial"/>
          <w:b/>
          <w:bCs/>
        </w:rPr>
        <w:t>Packages</w:t>
      </w:r>
      <w:r>
        <w:rPr>
          <w:rFonts w:ascii="Arial" w:hAnsi="Arial" w:cs="Arial"/>
          <w:b/>
          <w:bCs/>
        </w:rPr>
        <w:t xml:space="preserve">: </w:t>
      </w:r>
      <w:r w:rsidRPr="002F29FD">
        <w:rPr>
          <w:rFonts w:ascii="Arial" w:hAnsi="Arial" w:cs="Arial"/>
          <w:b/>
          <w:bCs/>
        </w:rPr>
        <w:t xml:space="preserve">Solar PV Power Plant SP01 at </w:t>
      </w:r>
      <w:proofErr w:type="spellStart"/>
      <w:r w:rsidRPr="002F29FD">
        <w:rPr>
          <w:rFonts w:ascii="Arial" w:hAnsi="Arial" w:cs="Arial"/>
          <w:b/>
          <w:bCs/>
        </w:rPr>
        <w:t>Nagda</w:t>
      </w:r>
      <w:proofErr w:type="spellEnd"/>
      <w:r w:rsidRPr="005A32D2">
        <w:rPr>
          <w:rFonts w:ascii="Arial" w:hAnsi="Arial" w:cs="Arial"/>
          <w:b/>
          <w:bCs/>
        </w:rPr>
        <w:t xml:space="preserve">; </w:t>
      </w:r>
    </w:p>
    <w:p w:rsidR="00DC6F3F" w:rsidRPr="002F29FD" w:rsidRDefault="00DC6F3F" w:rsidP="00DC6F3F">
      <w:pPr>
        <w:ind w:left="408" w:right="78" w:hanging="360"/>
        <w:rPr>
          <w:rFonts w:ascii="Arial" w:hAnsi="Arial" w:cs="Arial"/>
          <w:b/>
          <w:bCs/>
        </w:rPr>
      </w:pPr>
      <w:r w:rsidRPr="005A32D2">
        <w:rPr>
          <w:rFonts w:ascii="Arial" w:hAnsi="Arial" w:cs="Arial"/>
          <w:b/>
          <w:bCs/>
        </w:rPr>
        <w:t xml:space="preserve">Specification No.: </w:t>
      </w:r>
      <w:r w:rsidRPr="002F29FD">
        <w:rPr>
          <w:rFonts w:ascii="Arial" w:hAnsi="Arial" w:cs="Arial"/>
          <w:b/>
          <w:bCs/>
        </w:rPr>
        <w:t>5002002376/OTHERS/DOM/A02-CC CS -3</w:t>
      </w:r>
    </w:p>
    <w:p w:rsidR="002603F6" w:rsidRDefault="00DC6F3F">
      <w:r w:rsidRPr="002603F6">
        <w:rPr>
          <w:b/>
          <w:u w:val="single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869"/>
        <w:gridCol w:w="5984"/>
        <w:gridCol w:w="5592"/>
      </w:tblGrid>
      <w:tr w:rsidR="005209E1" w:rsidTr="005209E1"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E1" w:rsidRDefault="005209E1" w:rsidP="00BC6EC0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S.No</w:t>
            </w:r>
            <w:proofErr w:type="spellEnd"/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E1" w:rsidRDefault="005209E1" w:rsidP="00BC6EC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Clause</w:t>
            </w:r>
          </w:p>
        </w:tc>
        <w:tc>
          <w:tcPr>
            <w:tcW w:w="5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E1" w:rsidRDefault="005209E1" w:rsidP="00BC6EC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Queries</w:t>
            </w:r>
          </w:p>
        </w:tc>
        <w:tc>
          <w:tcPr>
            <w:tcW w:w="5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209E1" w:rsidRDefault="005209E1" w:rsidP="00BC6EC0">
            <w:pPr>
              <w:jc w:val="center"/>
              <w:rPr>
                <w:b/>
                <w:bCs/>
                <w:lang w:val="en-US"/>
              </w:rPr>
            </w:pPr>
            <w:r w:rsidRPr="00AF4AF5">
              <w:rPr>
                <w:rFonts w:ascii="Times New Roman" w:hAnsi="Times New Roman"/>
                <w:b/>
                <w:sz w:val="20"/>
                <w:lang w:val="es-MX"/>
              </w:rPr>
              <w:t xml:space="preserve">POWERGRID </w:t>
            </w:r>
            <w:proofErr w:type="spellStart"/>
            <w:r w:rsidRPr="00AF4AF5">
              <w:rPr>
                <w:rFonts w:ascii="Times New Roman" w:hAnsi="Times New Roman"/>
                <w:b/>
                <w:sz w:val="20"/>
                <w:lang w:val="es-MX"/>
              </w:rPr>
              <w:t>Reply</w:t>
            </w:r>
            <w:proofErr w:type="spellEnd"/>
          </w:p>
        </w:tc>
      </w:tr>
      <w:tr w:rsidR="005209E1" w:rsidTr="005209E1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9E1" w:rsidRDefault="005209E1" w:rsidP="00C34BC4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9E1" w:rsidRDefault="005209E1" w:rsidP="00C34BC4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BDS – Page 8 and point 6 Clarification 2:</w:t>
            </w:r>
          </w:p>
          <w:p w:rsidR="005209E1" w:rsidRDefault="005209E1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Authorization certificate issued by domestic manufacturer for selling Domestically Manufactured Iron &amp; Steel Products.</w:t>
            </w:r>
          </w:p>
          <w:p w:rsidR="005209E1" w:rsidRDefault="005209E1">
            <w:pPr>
              <w:rPr>
                <w:lang w:val="en-US"/>
              </w:rPr>
            </w:pPr>
          </w:p>
          <w:p w:rsidR="005209E1" w:rsidRDefault="005209E1" w:rsidP="00C34BC4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Attachment 8 - Manufacturer’s Authorization Form</w:t>
            </w:r>
          </w:p>
          <w:p w:rsidR="005209E1" w:rsidRDefault="005209E1" w:rsidP="00C34BC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  <w:color w:val="1F497D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>Attachment 25 – Authorization letter from domestic manufacturer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E1" w:rsidRDefault="005209E1" w:rsidP="00C34BC4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Obtaining authorization certificate from manufacturer is not possible at the stage of bid submission. As manufacturers, vendors and sub-vendor are finalized during project execution depending on the availability and project timeline.</w:t>
            </w:r>
          </w:p>
          <w:p w:rsidR="005209E1" w:rsidRDefault="005209E1" w:rsidP="00C34BC4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The mentioned clause is contradictory to appendix 5 “GCC Sub-Clause 15.1, </w:t>
            </w:r>
            <w:r>
              <w:rPr>
                <w:b/>
                <w:bCs/>
                <w:lang w:val="en-US"/>
              </w:rPr>
              <w:t>“the Contractor is free to submit proposals for Subcontractors for additional items from time to time”</w:t>
            </w:r>
            <w:r>
              <w:rPr>
                <w:lang w:val="en-US"/>
              </w:rPr>
              <w:t xml:space="preserve"> where bidder can ask for approval of new vendor during project execution.</w:t>
            </w:r>
          </w:p>
          <w:p w:rsidR="005209E1" w:rsidRDefault="005209E1" w:rsidP="00C34BC4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As solar project consist of many items including but not limited Category A, B and C, so it is not possible to obtain the requisite document for each and every manufacturer.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F3F" w:rsidRPr="00DC6F3F" w:rsidRDefault="00D65145" w:rsidP="00DC6F3F">
            <w:pPr>
              <w:jc w:val="both"/>
              <w:rPr>
                <w:lang w:val="en-US"/>
              </w:rPr>
            </w:pPr>
            <w:r>
              <w:t xml:space="preserve">The details </w:t>
            </w:r>
            <w:proofErr w:type="gramStart"/>
            <w:r>
              <w:t>needs</w:t>
            </w:r>
            <w:proofErr w:type="gramEnd"/>
            <w:r>
              <w:t xml:space="preserve"> to be furnished as per the provisions of the Bidding Document.</w:t>
            </w:r>
          </w:p>
        </w:tc>
      </w:tr>
      <w:tr w:rsidR="005209E1" w:rsidTr="005209E1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E1" w:rsidRDefault="005209E1">
            <w:pPr>
              <w:jc w:val="center"/>
            </w:pPr>
            <w:r>
              <w:t>2.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E1" w:rsidRDefault="005209E1">
            <w:pPr>
              <w:rPr>
                <w:lang w:val="en-US"/>
              </w:rPr>
            </w:pPr>
            <w:r>
              <w:rPr>
                <w:lang w:val="en-US"/>
              </w:rPr>
              <w:t>Attachment 5 &amp; 5A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E1" w:rsidRDefault="005209E1" w:rsidP="00C34BC4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It is not possible to provide list &amp; type of work to be awarded during execution and name of the sub-vendors, vendors and MSE during bid submission, as vendors and sub-vendors are appointed as per the requirement and nature of work. </w:t>
            </w:r>
          </w:p>
          <w:p w:rsidR="005209E1" w:rsidRDefault="005209E1" w:rsidP="00C34BC4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Also, appointment of sub-vendors/vendors </w:t>
            </w:r>
            <w:proofErr w:type="spellStart"/>
            <w:r>
              <w:rPr>
                <w:lang w:val="en-US"/>
              </w:rPr>
              <w:t>etc</w:t>
            </w:r>
            <w:proofErr w:type="spellEnd"/>
            <w:r>
              <w:rPr>
                <w:lang w:val="en-US"/>
              </w:rPr>
              <w:t xml:space="preserve"> depends on site conditions and availability of man-power as well, which is not possible to </w:t>
            </w:r>
            <w:proofErr w:type="spellStart"/>
            <w:r>
              <w:rPr>
                <w:lang w:val="en-US"/>
              </w:rPr>
              <w:t>analyse</w:t>
            </w:r>
            <w:proofErr w:type="spellEnd"/>
            <w:r>
              <w:rPr>
                <w:lang w:val="en-US"/>
              </w:rPr>
              <w:t xml:space="preserve"> at this stage. </w:t>
            </w:r>
            <w:proofErr w:type="gramStart"/>
            <w:r>
              <w:rPr>
                <w:lang w:val="en-US"/>
              </w:rPr>
              <w:t>So</w:t>
            </w:r>
            <w:proofErr w:type="gramEnd"/>
            <w:r>
              <w:rPr>
                <w:lang w:val="en-US"/>
              </w:rPr>
              <w:t xml:space="preserve"> we request you to kindly allow the bidders to furnish the requisite details during project execution and not at the time of submission.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145" w:rsidRPr="00DC6F3F" w:rsidRDefault="00D65145" w:rsidP="00DC6F3F">
            <w:pPr>
              <w:rPr>
                <w:lang w:val="en-US"/>
              </w:rPr>
            </w:pPr>
            <w:r>
              <w:t xml:space="preserve">The details </w:t>
            </w:r>
            <w:proofErr w:type="gramStart"/>
            <w:r>
              <w:t>needs</w:t>
            </w:r>
            <w:proofErr w:type="gramEnd"/>
            <w:r>
              <w:t xml:space="preserve"> to be furnished as per the provisions of the Bidding Document.</w:t>
            </w:r>
          </w:p>
        </w:tc>
      </w:tr>
      <w:tr w:rsidR="005209E1" w:rsidTr="005209E1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9E1" w:rsidRDefault="005209E1" w:rsidP="00C34BC4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E1" w:rsidRDefault="005209E1">
            <w:pPr>
              <w:rPr>
                <w:lang w:val="en-US"/>
              </w:rPr>
            </w:pPr>
            <w:r>
              <w:rPr>
                <w:lang w:val="en-US"/>
              </w:rPr>
              <w:t>Detailed Price schedule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E1" w:rsidRDefault="005209E1">
            <w:pPr>
              <w:rPr>
                <w:lang w:val="en-US"/>
              </w:rPr>
            </w:pPr>
            <w:r>
              <w:rPr>
                <w:lang w:val="en-US"/>
              </w:rPr>
              <w:t xml:space="preserve">As per industry practice, detailed price schedule </w:t>
            </w:r>
            <w:proofErr w:type="gramStart"/>
            <w:r>
              <w:rPr>
                <w:lang w:val="en-US"/>
              </w:rPr>
              <w:t>is  to</w:t>
            </w:r>
            <w:proofErr w:type="gramEnd"/>
            <w:r>
              <w:rPr>
                <w:lang w:val="en-US"/>
              </w:rPr>
              <w:t xml:space="preserve"> be submitted detailed engineering only. Since, PGCIL has clarified to follow the provision of bid so we request you to kindly clarify:</w:t>
            </w:r>
          </w:p>
          <w:p w:rsidR="005209E1" w:rsidRDefault="005209E1" w:rsidP="00C34BC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What would be the price adjustment methodology at after </w:t>
            </w:r>
            <w:proofErr w:type="spellStart"/>
            <w:proofErr w:type="gramStart"/>
            <w:r>
              <w:rPr>
                <w:lang w:val="en-US"/>
              </w:rPr>
              <w:t>eRA</w:t>
            </w:r>
            <w:proofErr w:type="spellEnd"/>
            <w:r>
              <w:rPr>
                <w:lang w:val="en-US"/>
              </w:rPr>
              <w:t>.</w:t>
            </w:r>
            <w:proofErr w:type="gramEnd"/>
          </w:p>
          <w:p w:rsidR="005209E1" w:rsidRDefault="005209E1" w:rsidP="00C34BC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Do bidder need to submit revised price schedule after </w:t>
            </w:r>
            <w:proofErr w:type="spellStart"/>
            <w:r>
              <w:rPr>
                <w:lang w:val="en-US"/>
              </w:rPr>
              <w:t>eRA</w:t>
            </w:r>
            <w:proofErr w:type="spellEnd"/>
            <w:r>
              <w:rPr>
                <w:lang w:val="en-US"/>
              </w:rPr>
              <w:t xml:space="preserve"> or PGCIL will reduce the cost on pro-rata basis.</w:t>
            </w:r>
          </w:p>
          <w:p w:rsidR="005209E1" w:rsidRDefault="005209E1" w:rsidP="00C34BC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If there is any shift in quantity of material based on drawing and design approval from PGCIL, then what methodology to be followed to cater the change in BOQ and BBU.</w:t>
            </w:r>
          </w:p>
          <w:p w:rsidR="005209E1" w:rsidRDefault="005209E1" w:rsidP="00C34BC4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Bidi"/>
                <w:color w:val="1F497D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 xml:space="preserve">We request PGCIL to allow bidders to submit revised schedule after </w:t>
            </w:r>
            <w:proofErr w:type="spellStart"/>
            <w:r>
              <w:rPr>
                <w:rFonts w:asciiTheme="minorHAnsi" w:hAnsiTheme="minorHAnsi" w:cstheme="minorBidi"/>
                <w:lang w:val="en-US"/>
              </w:rPr>
              <w:t>eRA</w:t>
            </w:r>
            <w:proofErr w:type="spellEnd"/>
            <w:r>
              <w:rPr>
                <w:rFonts w:asciiTheme="minorHAnsi" w:hAnsiTheme="minorHAnsi" w:cstheme="minorBidi"/>
                <w:lang w:val="en-US"/>
              </w:rPr>
              <w:t xml:space="preserve"> and final schedule to be based on the detailed BBU only.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09E1" w:rsidRDefault="00D65145" w:rsidP="00D65145">
            <w:pPr>
              <w:pStyle w:val="ListParagraph"/>
              <w:ind w:left="499" w:hanging="426"/>
              <w:rPr>
                <w:lang w:val="en-US"/>
              </w:rPr>
            </w:pPr>
            <w:r>
              <w:rPr>
                <w:lang w:val="en-US"/>
              </w:rPr>
              <w:t xml:space="preserve">1&amp; 2 </w:t>
            </w:r>
            <w:r w:rsidR="00DC6F3F">
              <w:rPr>
                <w:lang w:val="en-US"/>
              </w:rPr>
              <w:t xml:space="preserve">Bidder may refer Sr. no 7 of the </w:t>
            </w:r>
            <w:r w:rsidR="00DC6F3F" w:rsidRPr="00DC6F3F">
              <w:rPr>
                <w:b/>
                <w:bCs/>
                <w:lang w:val="en-US"/>
              </w:rPr>
              <w:t>Business Rules for e-Reverse Auction</w:t>
            </w:r>
            <w:r w:rsidR="00DC6F3F">
              <w:rPr>
                <w:b/>
                <w:bCs/>
                <w:lang w:val="en-US"/>
              </w:rPr>
              <w:t xml:space="preserve"> ((</w:t>
            </w:r>
            <w:r w:rsidR="00DC6F3F">
              <w:rPr>
                <w:lang w:val="en-US"/>
              </w:rPr>
              <w:t>Annexure-C (BDS)).</w:t>
            </w:r>
          </w:p>
          <w:p w:rsidR="00DC6F3F" w:rsidRPr="00DC6F3F" w:rsidRDefault="00DC6F3F" w:rsidP="00D6514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13" w:hanging="440"/>
              <w:jc w:val="both"/>
              <w:rPr>
                <w:lang w:val="en-US"/>
              </w:rPr>
            </w:pPr>
            <w:r w:rsidRPr="00DC6F3F">
              <w:rPr>
                <w:lang w:val="en-US"/>
              </w:rPr>
              <w:t>In line with clause no. 14.0.iv) of Technical Specification, Part-A: Section-Project (Subsection-1), in case the</w:t>
            </w:r>
          </w:p>
          <w:p w:rsidR="00DC6F3F" w:rsidRDefault="00DC6F3F" w:rsidP="00DC6F3F">
            <w:pPr>
              <w:autoSpaceDE w:val="0"/>
              <w:autoSpaceDN w:val="0"/>
              <w:adjustRightInd w:val="0"/>
              <w:ind w:left="496" w:firstLine="28"/>
              <w:jc w:val="both"/>
              <w:rPr>
                <w:lang w:val="en-US"/>
              </w:rPr>
            </w:pPr>
            <w:r w:rsidRPr="00DC6F3F">
              <w:rPr>
                <w:lang w:val="en-US"/>
              </w:rPr>
              <w:t>description/quantity for any items</w:t>
            </w:r>
            <w:r>
              <w:rPr>
                <w:lang w:val="en-US"/>
              </w:rPr>
              <w:t xml:space="preserve"> </w:t>
            </w:r>
            <w:r w:rsidRPr="00DC6F3F">
              <w:rPr>
                <w:lang w:val="en-US"/>
              </w:rPr>
              <w:t>mentioned in the Bid Price Schedule (BPS)</w:t>
            </w:r>
            <w:r>
              <w:rPr>
                <w:lang w:val="en-US"/>
              </w:rPr>
              <w:t xml:space="preserve"> </w:t>
            </w:r>
            <w:r w:rsidRPr="00DC6F3F">
              <w:rPr>
                <w:lang w:val="en-US"/>
              </w:rPr>
              <w:t>is at variance from what has been stated in</w:t>
            </w:r>
            <w:r>
              <w:rPr>
                <w:lang w:val="en-US"/>
              </w:rPr>
              <w:t xml:space="preserve"> </w:t>
            </w:r>
            <w:r w:rsidRPr="00DC6F3F">
              <w:rPr>
                <w:lang w:val="en-US"/>
              </w:rPr>
              <w:t>the Technical Specifications, the</w:t>
            </w:r>
            <w:r>
              <w:rPr>
                <w:lang w:val="en-US"/>
              </w:rPr>
              <w:t xml:space="preserve"> </w:t>
            </w:r>
            <w:r w:rsidRPr="00DC6F3F">
              <w:rPr>
                <w:lang w:val="en-US"/>
              </w:rPr>
              <w:t>stipulations of the Technical Specification</w:t>
            </w:r>
            <w:r>
              <w:rPr>
                <w:lang w:val="en-US"/>
              </w:rPr>
              <w:t xml:space="preserve"> </w:t>
            </w:r>
            <w:r w:rsidRPr="00DC6F3F">
              <w:rPr>
                <w:lang w:val="en-US"/>
              </w:rPr>
              <w:t>including its subsequent amendment and</w:t>
            </w:r>
            <w:r>
              <w:rPr>
                <w:lang w:val="en-US"/>
              </w:rPr>
              <w:t xml:space="preserve"> </w:t>
            </w:r>
            <w:r w:rsidRPr="00DC6F3F">
              <w:rPr>
                <w:lang w:val="en-US"/>
              </w:rPr>
              <w:t>clarification shall prevail.</w:t>
            </w:r>
          </w:p>
          <w:p w:rsidR="00DC6F3F" w:rsidRPr="00DC6F3F" w:rsidRDefault="00DC6F3F" w:rsidP="00D6514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13" w:hanging="406"/>
              <w:jc w:val="both"/>
              <w:rPr>
                <w:lang w:val="en-US"/>
              </w:rPr>
            </w:pPr>
            <w:r w:rsidRPr="00DC6F3F">
              <w:rPr>
                <w:rFonts w:eastAsia="Times New Roman"/>
              </w:rPr>
              <w:t>The provisions of Bidding documents shall remain unchanged</w:t>
            </w:r>
            <w:r>
              <w:rPr>
                <w:rFonts w:eastAsia="Times New Roman"/>
              </w:rPr>
              <w:t>.</w:t>
            </w:r>
          </w:p>
        </w:tc>
      </w:tr>
    </w:tbl>
    <w:p w:rsidR="009C4FB8" w:rsidRDefault="009C4FB8"/>
    <w:sectPr w:rsidR="009C4FB8" w:rsidSect="00A776D7">
      <w:pgSz w:w="16838" w:h="11906" w:orient="landscape"/>
      <w:pgMar w:top="993" w:right="82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F3F" w:rsidRDefault="00DC6F3F" w:rsidP="00DC6F3F">
      <w:r>
        <w:separator/>
      </w:r>
    </w:p>
  </w:endnote>
  <w:endnote w:type="continuationSeparator" w:id="0">
    <w:p w:rsidR="00DC6F3F" w:rsidRDefault="00DC6F3F" w:rsidP="00DC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F3F" w:rsidRDefault="00DC6F3F" w:rsidP="00DC6F3F">
      <w:r>
        <w:separator/>
      </w:r>
    </w:p>
  </w:footnote>
  <w:footnote w:type="continuationSeparator" w:id="0">
    <w:p w:rsidR="00DC6F3F" w:rsidRDefault="00DC6F3F" w:rsidP="00DC6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2262"/>
    <w:multiLevelType w:val="hybridMultilevel"/>
    <w:tmpl w:val="A17463CA"/>
    <w:lvl w:ilvl="0" w:tplc="560454F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07E7B"/>
    <w:multiLevelType w:val="hybridMultilevel"/>
    <w:tmpl w:val="0F2ED7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F6D1F"/>
    <w:multiLevelType w:val="hybridMultilevel"/>
    <w:tmpl w:val="0F2ED7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12775"/>
    <w:multiLevelType w:val="hybridMultilevel"/>
    <w:tmpl w:val="F32216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52D67"/>
    <w:multiLevelType w:val="hybridMultilevel"/>
    <w:tmpl w:val="22685472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5575B90"/>
    <w:multiLevelType w:val="hybridMultilevel"/>
    <w:tmpl w:val="0F2ED7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07B55"/>
    <w:multiLevelType w:val="hybridMultilevel"/>
    <w:tmpl w:val="395CFCE0"/>
    <w:lvl w:ilvl="0" w:tplc="42C290D2">
      <w:start w:val="1"/>
      <w:numFmt w:val="decimal"/>
      <w:lvlText w:val="%1"/>
      <w:lvlJc w:val="left"/>
      <w:pPr>
        <w:ind w:left="8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6" w:hanging="360"/>
      </w:pPr>
    </w:lvl>
    <w:lvl w:ilvl="2" w:tplc="4009001B" w:tentative="1">
      <w:start w:val="1"/>
      <w:numFmt w:val="lowerRoman"/>
      <w:lvlText w:val="%3."/>
      <w:lvlJc w:val="right"/>
      <w:pPr>
        <w:ind w:left="2296" w:hanging="180"/>
      </w:pPr>
    </w:lvl>
    <w:lvl w:ilvl="3" w:tplc="4009000F" w:tentative="1">
      <w:start w:val="1"/>
      <w:numFmt w:val="decimal"/>
      <w:lvlText w:val="%4."/>
      <w:lvlJc w:val="left"/>
      <w:pPr>
        <w:ind w:left="3016" w:hanging="360"/>
      </w:pPr>
    </w:lvl>
    <w:lvl w:ilvl="4" w:tplc="40090019" w:tentative="1">
      <w:start w:val="1"/>
      <w:numFmt w:val="lowerLetter"/>
      <w:lvlText w:val="%5."/>
      <w:lvlJc w:val="left"/>
      <w:pPr>
        <w:ind w:left="3736" w:hanging="360"/>
      </w:pPr>
    </w:lvl>
    <w:lvl w:ilvl="5" w:tplc="4009001B" w:tentative="1">
      <w:start w:val="1"/>
      <w:numFmt w:val="lowerRoman"/>
      <w:lvlText w:val="%6."/>
      <w:lvlJc w:val="right"/>
      <w:pPr>
        <w:ind w:left="4456" w:hanging="180"/>
      </w:pPr>
    </w:lvl>
    <w:lvl w:ilvl="6" w:tplc="4009000F" w:tentative="1">
      <w:start w:val="1"/>
      <w:numFmt w:val="decimal"/>
      <w:lvlText w:val="%7."/>
      <w:lvlJc w:val="left"/>
      <w:pPr>
        <w:ind w:left="5176" w:hanging="360"/>
      </w:pPr>
    </w:lvl>
    <w:lvl w:ilvl="7" w:tplc="40090019" w:tentative="1">
      <w:start w:val="1"/>
      <w:numFmt w:val="lowerLetter"/>
      <w:lvlText w:val="%8."/>
      <w:lvlJc w:val="left"/>
      <w:pPr>
        <w:ind w:left="5896" w:hanging="360"/>
      </w:pPr>
    </w:lvl>
    <w:lvl w:ilvl="8" w:tplc="40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7" w15:restartNumberingAfterBreak="0">
    <w:nsid w:val="71D1331A"/>
    <w:multiLevelType w:val="hybridMultilevel"/>
    <w:tmpl w:val="84983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15DE5CC6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0C"/>
    <w:rsid w:val="002603F6"/>
    <w:rsid w:val="00335D59"/>
    <w:rsid w:val="0038215A"/>
    <w:rsid w:val="004959DF"/>
    <w:rsid w:val="005209E1"/>
    <w:rsid w:val="009C4FB8"/>
    <w:rsid w:val="00A776D7"/>
    <w:rsid w:val="00BC6EC0"/>
    <w:rsid w:val="00C006E3"/>
    <w:rsid w:val="00D65145"/>
    <w:rsid w:val="00DC6F3F"/>
    <w:rsid w:val="00EE75C8"/>
    <w:rsid w:val="00FD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48496-9788-4C16-B8CB-72B2C2B2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5C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5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C6F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F3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C6F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F3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Muskan Gupta</dc:creator>
  <cp:keywords/>
  <dc:description/>
  <cp:lastModifiedBy>Kamal  Kumar Rathore {कमल कुमार राठौर}</cp:lastModifiedBy>
  <cp:revision>17</cp:revision>
  <dcterms:created xsi:type="dcterms:W3CDTF">2022-10-19T11:31:00Z</dcterms:created>
  <dcterms:modified xsi:type="dcterms:W3CDTF">2022-10-28T09:41:00Z</dcterms:modified>
</cp:coreProperties>
</file>