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71"/>
        <w:gridCol w:w="1551"/>
        <w:gridCol w:w="4961"/>
        <w:gridCol w:w="7229"/>
      </w:tblGrid>
      <w:tr w:rsidR="006C3DF0" w:rsidRPr="006C3DF0" w14:paraId="2F131D26" w14:textId="77777777" w:rsidTr="00A80BB9">
        <w:trPr>
          <w:tblHeader/>
        </w:trPr>
        <w:tc>
          <w:tcPr>
            <w:tcW w:w="571" w:type="dxa"/>
          </w:tcPr>
          <w:p w14:paraId="24BBB486" w14:textId="77777777" w:rsidR="006C3DF0" w:rsidRPr="006C3DF0" w:rsidRDefault="006C3DF0" w:rsidP="008454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551" w:type="dxa"/>
          </w:tcPr>
          <w:p w14:paraId="5009312D" w14:textId="77777777" w:rsidR="006C3DF0" w:rsidRPr="006C3DF0" w:rsidRDefault="006C3DF0" w:rsidP="008454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>Cl. Ref. in the Bidding Documents</w:t>
            </w:r>
          </w:p>
        </w:tc>
        <w:tc>
          <w:tcPr>
            <w:tcW w:w="4961" w:type="dxa"/>
          </w:tcPr>
          <w:p w14:paraId="0BB06F0B" w14:textId="77777777" w:rsidR="006C3DF0" w:rsidRPr="006C3DF0" w:rsidRDefault="006C3DF0" w:rsidP="008454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>Existing Provision in the Bidding Documents</w:t>
            </w:r>
          </w:p>
        </w:tc>
        <w:tc>
          <w:tcPr>
            <w:tcW w:w="7229" w:type="dxa"/>
          </w:tcPr>
          <w:p w14:paraId="0AA0B325" w14:textId="3DFFBE26" w:rsidR="006C3DF0" w:rsidRPr="006C3DF0" w:rsidRDefault="006C3DF0" w:rsidP="008454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>Amend</w:t>
            </w:r>
            <w:r w:rsidR="00D10925">
              <w:rPr>
                <w:rFonts w:ascii="Arial" w:hAnsi="Arial" w:cs="Arial"/>
                <w:b/>
                <w:bCs/>
                <w:sz w:val="22"/>
                <w:szCs w:val="22"/>
              </w:rPr>
              <w:t>ed As</w:t>
            </w:r>
          </w:p>
        </w:tc>
      </w:tr>
      <w:tr w:rsidR="006C3DF0" w:rsidRPr="006C3DF0" w14:paraId="2EE5D3E5" w14:textId="77777777" w:rsidTr="00A80BB9">
        <w:tc>
          <w:tcPr>
            <w:tcW w:w="571" w:type="dxa"/>
          </w:tcPr>
          <w:p w14:paraId="0B520403" w14:textId="77777777" w:rsidR="006C3DF0" w:rsidRPr="006C3DF0" w:rsidRDefault="006C3DF0" w:rsidP="008454C3">
            <w:pPr>
              <w:rPr>
                <w:rFonts w:ascii="Arial" w:hAnsi="Arial" w:cs="Arial"/>
                <w:sz w:val="22"/>
                <w:szCs w:val="22"/>
              </w:rPr>
            </w:pPr>
            <w:r w:rsidRPr="006C3D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1" w:type="dxa"/>
          </w:tcPr>
          <w:p w14:paraId="6470AC52" w14:textId="254FD286" w:rsidR="006C3DF0" w:rsidRPr="006C3DF0" w:rsidRDefault="006C3DF0" w:rsidP="008454C3">
            <w:pPr>
              <w:rPr>
                <w:rFonts w:ascii="Arial" w:hAnsi="Arial" w:cs="Arial"/>
                <w:sz w:val="22"/>
                <w:szCs w:val="22"/>
              </w:rPr>
            </w:pPr>
            <w:r w:rsidRPr="006C3DF0">
              <w:rPr>
                <w:rFonts w:ascii="Arial" w:hAnsi="Arial" w:cs="Arial"/>
                <w:sz w:val="22"/>
                <w:szCs w:val="22"/>
              </w:rPr>
              <w:t>GCC 4</w:t>
            </w:r>
            <w:r w:rsidR="00931F82">
              <w:rPr>
                <w:rFonts w:ascii="Arial" w:hAnsi="Arial" w:cs="Arial"/>
                <w:sz w:val="22"/>
                <w:szCs w:val="22"/>
              </w:rPr>
              <w:t>2</w:t>
            </w:r>
            <w:r w:rsidRPr="006C3DF0">
              <w:rPr>
                <w:rFonts w:ascii="Arial" w:hAnsi="Arial" w:cs="Arial"/>
                <w:sz w:val="22"/>
                <w:szCs w:val="22"/>
              </w:rPr>
              <w:t>, Section-V: SCC, Vol.-I of the Bidding Documents</w:t>
            </w:r>
          </w:p>
          <w:p w14:paraId="518FBFB2" w14:textId="77777777" w:rsidR="006C3DF0" w:rsidRPr="006C3DF0" w:rsidRDefault="006C3DF0" w:rsidP="008454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1577A11" w14:textId="50CF81C3" w:rsidR="006C3DF0" w:rsidRPr="006C3DF0" w:rsidRDefault="0005657E" w:rsidP="00056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29" w:type="dxa"/>
          </w:tcPr>
          <w:p w14:paraId="6A511C1E" w14:textId="384C0803" w:rsidR="006C3DF0" w:rsidRPr="006C3DF0" w:rsidRDefault="006C3DF0" w:rsidP="00CD7F98">
            <w:pPr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J. </w:t>
            </w:r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proofErr w:type="gramStart"/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>PRE DEFINED</w:t>
            </w:r>
            <w:proofErr w:type="gramEnd"/>
            <w:r w:rsidRPr="006C3D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EVENTS</w:t>
            </w:r>
          </w:p>
          <w:p w14:paraId="463F7189" w14:textId="77777777" w:rsidR="006C3DF0" w:rsidRPr="006C3DF0" w:rsidRDefault="006C3DF0" w:rsidP="00CD7F98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3CC65" w14:textId="3A837CA0" w:rsidR="006C3DF0" w:rsidRPr="006C3DF0" w:rsidRDefault="006C3DF0" w:rsidP="00CD7F98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DF0">
              <w:rPr>
                <w:rFonts w:ascii="Arial" w:hAnsi="Arial" w:cs="Arial"/>
                <w:sz w:val="22"/>
                <w:szCs w:val="22"/>
              </w:rPr>
              <w:t>4</w:t>
            </w:r>
            <w:r w:rsidR="00251676">
              <w:rPr>
                <w:rFonts w:ascii="Arial" w:hAnsi="Arial" w:cs="Arial"/>
                <w:sz w:val="22"/>
                <w:szCs w:val="22"/>
              </w:rPr>
              <w:t>2</w:t>
            </w:r>
            <w:r w:rsidRPr="006C3D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52E1C">
              <w:rPr>
                <w:rFonts w:ascii="Arial" w:hAnsi="Arial" w:cs="Arial"/>
                <w:sz w:val="22"/>
                <w:szCs w:val="22"/>
              </w:rPr>
              <w:tab/>
            </w:r>
            <w:r w:rsidRPr="006C3DF0">
              <w:rPr>
                <w:rFonts w:ascii="Arial" w:hAnsi="Arial" w:cs="Arial"/>
                <w:sz w:val="22"/>
                <w:szCs w:val="22"/>
              </w:rPr>
              <w:t>POWERGRID has a Policy on Assessment of performance of bidders before recommending a bidder for award of Contract. For this purpose, performance of a bidder based on events (pre-defined events) encountered during execution of contract(s) (Own as well as Consultancy) awarded by POWERGRID (including SPVs under TBCB) shall</w:t>
            </w:r>
            <w:r w:rsidRPr="00FB26DB"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Pr="006C3DF0">
              <w:rPr>
                <w:rFonts w:ascii="Arial" w:hAnsi="Arial" w:cs="Arial"/>
                <w:sz w:val="22"/>
                <w:szCs w:val="22"/>
              </w:rPr>
              <w:t xml:space="preserve"> be considered. In case of triggering of these events, the bids from such </w:t>
            </w:r>
            <w:r w:rsidR="006C1325">
              <w:rPr>
                <w:rFonts w:ascii="Arial" w:hAnsi="Arial" w:cs="Arial"/>
                <w:sz w:val="22"/>
                <w:szCs w:val="22"/>
              </w:rPr>
              <w:t>bidders</w:t>
            </w:r>
            <w:r w:rsidRPr="006C3DF0">
              <w:rPr>
                <w:rFonts w:ascii="Arial" w:hAnsi="Arial" w:cs="Arial"/>
                <w:sz w:val="22"/>
                <w:szCs w:val="22"/>
              </w:rPr>
              <w:t xml:space="preserve"> shall be considered non-responsive/not eligible for a period of one year reckoned from the date of issuance of letter to such effect. As per this Policy, pre-defined events are as below: </w:t>
            </w:r>
          </w:p>
          <w:p w14:paraId="0F55074D" w14:textId="77777777" w:rsidR="006C3DF0" w:rsidRPr="006C3DF0" w:rsidRDefault="006C3DF0" w:rsidP="00CD7F98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Cs w:val="22"/>
                <w:lang w:val="en-US"/>
              </w:rPr>
            </w:pPr>
          </w:p>
          <w:p w14:paraId="4C05C8D3" w14:textId="7777777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i/>
                <w:iCs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</w:rPr>
              <w:t>Termination</w:t>
            </w:r>
            <w:r w:rsidRPr="006C3DF0">
              <w:rPr>
                <w:rFonts w:ascii="Arial" w:hAnsi="Arial" w:cs="Arial"/>
                <w:szCs w:val="22"/>
                <w:vertAlign w:val="superscript"/>
              </w:rPr>
              <w:t>#</w:t>
            </w:r>
            <w:r w:rsidRPr="006C3DF0">
              <w:rPr>
                <w:rFonts w:ascii="Arial" w:hAnsi="Arial" w:cs="Arial"/>
                <w:szCs w:val="22"/>
              </w:rPr>
              <w:t xml:space="preserve"> of Contract due to Contractor’s default</w:t>
            </w:r>
          </w:p>
          <w:p w14:paraId="14F614CE" w14:textId="7777777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  <w:lang w:val="en-US"/>
              </w:rPr>
              <w:t>Encashment of CPG due to non-performance</w:t>
            </w:r>
          </w:p>
          <w:p w14:paraId="3F88E79F" w14:textId="7777777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</w:rPr>
              <w:t>Repeated failure of major Equipment while in service</w:t>
            </w:r>
          </w:p>
          <w:p w14:paraId="022A8EDD" w14:textId="7777777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</w:rPr>
              <w:t xml:space="preserve">Substantial portion of works (more than 50% of the Contract*) is sub-contracted, under an existing </w:t>
            </w:r>
            <w:proofErr w:type="gramStart"/>
            <w:r w:rsidRPr="006C3DF0">
              <w:rPr>
                <w:rFonts w:ascii="Arial" w:hAnsi="Arial" w:cs="Arial"/>
                <w:szCs w:val="22"/>
              </w:rPr>
              <w:t>Contract</w:t>
            </w:r>
            <w:proofErr w:type="gramEnd"/>
          </w:p>
          <w:p w14:paraId="35B76E6E" w14:textId="17C640B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</w:rPr>
              <w:t xml:space="preserve">More than 25% of the Contract price (awarded value), in aggregate, is paid to sub-contractors/suppliers as Direct payment, under an existing Contract, due to financial position of </w:t>
            </w:r>
            <w:proofErr w:type="gramStart"/>
            <w:r w:rsidRPr="006C3DF0">
              <w:rPr>
                <w:rFonts w:ascii="Arial" w:hAnsi="Arial" w:cs="Arial"/>
                <w:szCs w:val="22"/>
              </w:rPr>
              <w:t>Contractor</w:t>
            </w:r>
            <w:proofErr w:type="gramEnd"/>
          </w:p>
          <w:p w14:paraId="59144A01" w14:textId="77777777" w:rsidR="006C3DF0" w:rsidRPr="006C3DF0" w:rsidRDefault="006C3DF0" w:rsidP="00F52E1C">
            <w:pPr>
              <w:pStyle w:val="ListParagraph"/>
              <w:numPr>
                <w:ilvl w:val="0"/>
                <w:numId w:val="1"/>
              </w:numPr>
              <w:ind w:left="1028" w:hanging="425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6C3DF0">
              <w:rPr>
                <w:rFonts w:ascii="Arial" w:hAnsi="Arial" w:cs="Arial"/>
                <w:szCs w:val="22"/>
              </w:rPr>
              <w:t xml:space="preserve">Firm has been referred to NCLT under Insolvency &amp; Bankruptcy Code </w:t>
            </w:r>
            <w:r w:rsidRPr="006C3DF0">
              <w:rPr>
                <w:rFonts w:ascii="Arial" w:hAnsi="Arial" w:cs="Arial"/>
                <w:i/>
                <w:iCs/>
                <w:szCs w:val="22"/>
              </w:rPr>
              <w:t>(IRP has been appointed or Liquidation proceedings have been initiated under IBC)</w:t>
            </w:r>
          </w:p>
          <w:p w14:paraId="7A67E340" w14:textId="77777777" w:rsidR="006C3DF0" w:rsidRPr="006C3DF0" w:rsidRDefault="006C3DF0" w:rsidP="00CD7F98">
            <w:pPr>
              <w:pStyle w:val="ListParagraph"/>
              <w:jc w:val="both"/>
              <w:rPr>
                <w:rFonts w:ascii="Arial" w:hAnsi="Arial" w:cs="Arial"/>
                <w:i/>
                <w:iCs/>
                <w:szCs w:val="22"/>
              </w:rPr>
            </w:pPr>
          </w:p>
          <w:p w14:paraId="7E85F4C0" w14:textId="02F36060" w:rsidR="006C3DF0" w:rsidRPr="008A1F7A" w:rsidRDefault="006C3DF0" w:rsidP="00CD7F98">
            <w:pPr>
              <w:pStyle w:val="paragraph"/>
              <w:spacing w:before="0" w:beforeAutospacing="0" w:after="0" w:afterAutospacing="0"/>
              <w:ind w:left="567" w:right="-46"/>
              <w:jc w:val="both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8A1F7A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# Partial offloading under a Contract and/or Facilitation beyond 10% of the Contract Price shall also be treated as Termination. </w:t>
            </w:r>
          </w:p>
          <w:p w14:paraId="740B562B" w14:textId="77777777" w:rsidR="006C3DF0" w:rsidRPr="006C3DF0" w:rsidRDefault="006C3DF0" w:rsidP="00CD7F98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</w:p>
          <w:p w14:paraId="71F5A987" w14:textId="77777777" w:rsidR="006C3DF0" w:rsidRPr="006C3DF0" w:rsidRDefault="006C3DF0" w:rsidP="00CD7F98">
            <w:pPr>
              <w:ind w:left="567" w:right="3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3DF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*</w:t>
            </w:r>
            <w:proofErr w:type="gramStart"/>
            <w:r w:rsidRPr="006C3DF0">
              <w:rPr>
                <w:rFonts w:ascii="Arial" w:hAnsi="Arial" w:cs="Arial"/>
                <w:i/>
                <w:iCs/>
                <w:sz w:val="22"/>
                <w:szCs w:val="22"/>
              </w:rPr>
              <w:t>For the purpose of</w:t>
            </w:r>
            <w:proofErr w:type="gramEnd"/>
            <w:r w:rsidRPr="006C3D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working out 50% of the Contract, following shall be taken into account:</w:t>
            </w:r>
          </w:p>
          <w:p w14:paraId="78758E42" w14:textId="77777777" w:rsidR="006C3DF0" w:rsidRPr="006C3DF0" w:rsidRDefault="006C3DF0" w:rsidP="00CD7F98">
            <w:pPr>
              <w:ind w:right="3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0DF81AC" w14:textId="77777777" w:rsidR="006C3DF0" w:rsidRPr="006C3DF0" w:rsidRDefault="006C3DF0" w:rsidP="00CD7F98">
            <w:pPr>
              <w:pStyle w:val="ListParagraph"/>
              <w:numPr>
                <w:ilvl w:val="0"/>
                <w:numId w:val="2"/>
              </w:numPr>
              <w:ind w:left="851" w:right="36" w:hanging="284"/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6C3DF0">
              <w:rPr>
                <w:rFonts w:ascii="Arial" w:hAnsi="Arial" w:cs="Arial"/>
                <w:i/>
                <w:iCs/>
                <w:szCs w:val="22"/>
              </w:rPr>
              <w:t xml:space="preserve">Scope of the contract which is permissible to be sub-contracted as per bidding documents, shall be excluded. </w:t>
            </w:r>
          </w:p>
          <w:p w14:paraId="297E7B87" w14:textId="77777777" w:rsidR="006C3DF0" w:rsidRPr="006C3DF0" w:rsidRDefault="006C3DF0" w:rsidP="00CD7F98">
            <w:pPr>
              <w:pStyle w:val="ListParagraph"/>
              <w:numPr>
                <w:ilvl w:val="0"/>
                <w:numId w:val="2"/>
              </w:numPr>
              <w:ind w:left="851" w:right="36" w:hanging="284"/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6C3DF0">
              <w:rPr>
                <w:rFonts w:ascii="Arial" w:hAnsi="Arial" w:cs="Arial"/>
                <w:i/>
                <w:iCs/>
                <w:szCs w:val="22"/>
              </w:rPr>
              <w:t xml:space="preserve">Scope of the Contract which primarily relates to the Qualification Requirement (QR) of the bidder. </w:t>
            </w:r>
          </w:p>
          <w:p w14:paraId="7455ADED" w14:textId="77777777" w:rsidR="006C3DF0" w:rsidRPr="006C3DF0" w:rsidRDefault="006C3DF0" w:rsidP="00CD7F98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FE4CAB" w14:textId="77777777" w:rsidR="006C3DF0" w:rsidRPr="006C3DF0" w:rsidRDefault="006C3DF0" w:rsidP="00CD7F98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DF0">
              <w:rPr>
                <w:rFonts w:ascii="Arial" w:hAnsi="Arial" w:cs="Arial"/>
                <w:sz w:val="22"/>
                <w:szCs w:val="22"/>
              </w:rPr>
              <w:t>The Employer shall be the sole judge in this regard and the Employer’s interpretation on the aforesaid event(s) shall be final and binding.</w:t>
            </w:r>
          </w:p>
          <w:p w14:paraId="57D0016E" w14:textId="77777777" w:rsidR="006C3DF0" w:rsidRPr="006C3DF0" w:rsidRDefault="006C3DF0" w:rsidP="00CD7F98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Cs w:val="22"/>
                <w:lang w:val="en-US"/>
              </w:rPr>
            </w:pPr>
          </w:p>
          <w:p w14:paraId="33B85073" w14:textId="6150DE77" w:rsidR="006C3DF0" w:rsidRPr="006C3DF0" w:rsidRDefault="006C3DF0" w:rsidP="00BE6793">
            <w:pPr>
              <w:pStyle w:val="ListParagraph"/>
              <w:spacing w:line="240" w:lineRule="auto"/>
              <w:ind w:left="567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6C3DF0">
              <w:rPr>
                <w:rFonts w:ascii="Arial" w:hAnsi="Arial" w:cs="Arial"/>
                <w:szCs w:val="22"/>
                <w:lang w:val="en-US"/>
              </w:rPr>
              <w:t xml:space="preserve">In accordance with above policy of POWERGRID, in case of triggering of any of the above events under this Contract, </w:t>
            </w:r>
            <w:r w:rsidR="00550800">
              <w:rPr>
                <w:rFonts w:ascii="Arial" w:hAnsi="Arial" w:cs="Arial"/>
                <w:szCs w:val="22"/>
                <w:lang w:val="en-US"/>
              </w:rPr>
              <w:t>the</w:t>
            </w:r>
            <w:r w:rsidRPr="006C3DF0">
              <w:rPr>
                <w:rFonts w:ascii="Arial" w:hAnsi="Arial" w:cs="Arial"/>
                <w:szCs w:val="22"/>
                <w:lang w:val="en-US"/>
              </w:rPr>
              <w:t xml:space="preserve"> bid </w:t>
            </w:r>
            <w:r w:rsidR="00AB560F">
              <w:rPr>
                <w:rFonts w:ascii="Arial" w:hAnsi="Arial" w:cs="Arial"/>
                <w:szCs w:val="22"/>
                <w:lang w:val="en-US"/>
              </w:rPr>
              <w:t xml:space="preserve">of the Contractor </w:t>
            </w:r>
            <w:r w:rsidRPr="006C3DF0">
              <w:rPr>
                <w:rFonts w:ascii="Arial" w:hAnsi="Arial" w:cs="Arial"/>
                <w:szCs w:val="22"/>
                <w:lang w:val="en-US"/>
              </w:rPr>
              <w:t>in future tenders shall be dealt in line with the above policy or its subsequent amendments, if any.</w:t>
            </w:r>
          </w:p>
        </w:tc>
      </w:tr>
    </w:tbl>
    <w:p w14:paraId="63C2C42A" w14:textId="00CB16CB" w:rsidR="00E26A12" w:rsidRPr="00902910" w:rsidRDefault="00E26A12" w:rsidP="005A3B13">
      <w:pPr>
        <w:ind w:right="-359"/>
        <w:jc w:val="both"/>
        <w:rPr>
          <w:rFonts w:ascii="Arial" w:hAnsi="Arial" w:cs="Arial"/>
          <w:sz w:val="22"/>
          <w:szCs w:val="22"/>
        </w:rPr>
      </w:pPr>
    </w:p>
    <w:p w14:paraId="69F7F122" w14:textId="77777777" w:rsidR="00695E66" w:rsidRDefault="00695E66" w:rsidP="005E5CFD">
      <w:pPr>
        <w:pStyle w:val="ListParagraph"/>
        <w:ind w:left="567" w:hanging="567"/>
        <w:jc w:val="both"/>
        <w:rPr>
          <w:rFonts w:ascii="Book Antiqua" w:hAnsi="Book Antiqua"/>
          <w:b/>
          <w:bCs/>
          <w:szCs w:val="22"/>
          <w:lang w:val="en-US"/>
        </w:rPr>
      </w:pPr>
    </w:p>
    <w:p w14:paraId="2EE115A4" w14:textId="77777777" w:rsidR="00695E66" w:rsidRDefault="00695E66" w:rsidP="005E5CFD">
      <w:pPr>
        <w:pStyle w:val="ListParagraph"/>
        <w:ind w:left="567" w:hanging="567"/>
        <w:jc w:val="both"/>
        <w:rPr>
          <w:rFonts w:ascii="Book Antiqua" w:hAnsi="Book Antiqua"/>
          <w:b/>
          <w:bCs/>
          <w:szCs w:val="22"/>
          <w:lang w:val="en-US"/>
        </w:rPr>
      </w:pPr>
    </w:p>
    <w:p w14:paraId="28E7D588" w14:textId="77777777" w:rsidR="00695E66" w:rsidRDefault="00695E66" w:rsidP="005E5CFD">
      <w:pPr>
        <w:pStyle w:val="ListParagraph"/>
        <w:ind w:left="567" w:hanging="567"/>
        <w:jc w:val="both"/>
        <w:rPr>
          <w:rFonts w:ascii="Book Antiqua" w:hAnsi="Book Antiqua"/>
          <w:b/>
          <w:bCs/>
          <w:szCs w:val="22"/>
          <w:lang w:val="en-US"/>
        </w:rPr>
      </w:pPr>
    </w:p>
    <w:p w14:paraId="148881B4" w14:textId="77777777" w:rsidR="00695E66" w:rsidRDefault="00695E66" w:rsidP="005E5CFD">
      <w:pPr>
        <w:pStyle w:val="ListParagraph"/>
        <w:ind w:left="567" w:hanging="567"/>
        <w:jc w:val="both"/>
        <w:rPr>
          <w:rFonts w:ascii="Book Antiqua" w:hAnsi="Book Antiqua"/>
          <w:b/>
          <w:bCs/>
          <w:szCs w:val="22"/>
          <w:lang w:val="en-US"/>
        </w:rPr>
      </w:pPr>
    </w:p>
    <w:p w14:paraId="00E322D3" w14:textId="77777777" w:rsidR="00695E66" w:rsidRDefault="00695E66" w:rsidP="005E5CFD">
      <w:pPr>
        <w:pStyle w:val="ListParagraph"/>
        <w:ind w:left="567" w:hanging="567"/>
        <w:jc w:val="both"/>
        <w:rPr>
          <w:rFonts w:ascii="Book Antiqua" w:hAnsi="Book Antiqua"/>
          <w:b/>
          <w:bCs/>
          <w:szCs w:val="22"/>
          <w:lang w:val="en-US"/>
        </w:rPr>
      </w:pPr>
    </w:p>
    <w:p w14:paraId="717442AF" w14:textId="77777777" w:rsidR="007A33A0" w:rsidRPr="005E5CFD" w:rsidRDefault="007A33A0" w:rsidP="007A33A0">
      <w:pPr>
        <w:pStyle w:val="Default"/>
        <w:jc w:val="both"/>
        <w:rPr>
          <w:rFonts w:cs="Arial"/>
          <w:b/>
          <w:bCs/>
          <w:sz w:val="22"/>
          <w:szCs w:val="22"/>
        </w:rPr>
      </w:pPr>
    </w:p>
    <w:p w14:paraId="7D8057A8" w14:textId="77777777" w:rsidR="002B04CB" w:rsidRPr="005E5CFD" w:rsidRDefault="002B04CB">
      <w:pPr>
        <w:rPr>
          <w:rFonts w:ascii="Book Antiqua" w:hAnsi="Book Antiqua"/>
          <w:sz w:val="22"/>
          <w:szCs w:val="22"/>
        </w:rPr>
      </w:pPr>
    </w:p>
    <w:sectPr w:rsidR="002B04CB" w:rsidRPr="005E5CFD" w:rsidSect="007B60A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E394" w14:textId="77777777" w:rsidR="009E5D95" w:rsidRDefault="009E5D95" w:rsidP="00FB6B46">
      <w:r>
        <w:separator/>
      </w:r>
    </w:p>
  </w:endnote>
  <w:endnote w:type="continuationSeparator" w:id="0">
    <w:p w14:paraId="39B44C3C" w14:textId="77777777" w:rsidR="009E5D95" w:rsidRDefault="009E5D95" w:rsidP="00FB6B46">
      <w:r>
        <w:continuationSeparator/>
      </w:r>
    </w:p>
  </w:endnote>
  <w:endnote w:type="continuationNotice" w:id="1">
    <w:p w14:paraId="4D7C3377" w14:textId="77777777" w:rsidR="009E5D95" w:rsidRDefault="009E5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BF8A" w14:textId="77777777" w:rsidR="009E5D95" w:rsidRDefault="009E5D95" w:rsidP="00FB6B46">
      <w:r>
        <w:separator/>
      </w:r>
    </w:p>
  </w:footnote>
  <w:footnote w:type="continuationSeparator" w:id="0">
    <w:p w14:paraId="7A409235" w14:textId="77777777" w:rsidR="009E5D95" w:rsidRDefault="009E5D95" w:rsidP="00FB6B46">
      <w:r>
        <w:continuationSeparator/>
      </w:r>
    </w:p>
  </w:footnote>
  <w:footnote w:type="continuationNotice" w:id="1">
    <w:p w14:paraId="245B64E9" w14:textId="77777777" w:rsidR="009E5D95" w:rsidRDefault="009E5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EE88" w14:textId="71A8A0F2" w:rsidR="001276D7" w:rsidRDefault="001276D7" w:rsidP="001276D7">
    <w:pPr>
      <w:pStyle w:val="Header"/>
      <w:rPr>
        <w:sz w:val="10"/>
        <w:szCs w:val="10"/>
      </w:rPr>
    </w:pPr>
    <w:r w:rsidRPr="003C4A4A">
      <w:rPr>
        <w:rFonts w:ascii="Book Antiqua" w:hAnsi="Book Antiqua"/>
        <w:b/>
        <w:bCs/>
        <w:sz w:val="22"/>
        <w:szCs w:val="22"/>
        <w:u w:val="single"/>
      </w:rPr>
      <w:t>Amendment No.–</w:t>
    </w:r>
    <w:r>
      <w:rPr>
        <w:rFonts w:ascii="Book Antiqua" w:hAnsi="Book Antiqua"/>
        <w:b/>
        <w:bCs/>
        <w:sz w:val="22"/>
        <w:szCs w:val="22"/>
        <w:u w:val="single"/>
      </w:rPr>
      <w:t>5</w:t>
    </w:r>
    <w:r w:rsidRPr="003C4A4A">
      <w:rPr>
        <w:rFonts w:ascii="Book Antiqua" w:hAnsi="Book Antiqua"/>
        <w:b/>
        <w:bCs/>
        <w:sz w:val="22"/>
        <w:szCs w:val="22"/>
        <w:u w:val="single"/>
      </w:rPr>
      <w:t xml:space="preserve"> dated </w:t>
    </w:r>
    <w:r>
      <w:rPr>
        <w:rFonts w:ascii="Book Antiqua" w:hAnsi="Book Antiqua"/>
        <w:b/>
        <w:bCs/>
        <w:sz w:val="22"/>
        <w:szCs w:val="22"/>
        <w:u w:val="single"/>
      </w:rPr>
      <w:t>31</w:t>
    </w:r>
    <w:r w:rsidRPr="003C4A4A">
      <w:rPr>
        <w:rFonts w:ascii="Book Antiqua" w:hAnsi="Book Antiqua"/>
        <w:b/>
        <w:bCs/>
        <w:sz w:val="22"/>
        <w:szCs w:val="22"/>
        <w:u w:val="single"/>
      </w:rPr>
      <w:t>/01/2024</w:t>
    </w:r>
    <w:r w:rsidRPr="003C4A4A">
      <w:rPr>
        <w:rFonts w:ascii="Book Antiqua" w:hAnsi="Book Antiqua"/>
        <w:sz w:val="22"/>
        <w:szCs w:val="22"/>
      </w:rPr>
      <w:t xml:space="preserve"> to the Bidding Documents of STATCOM PACKAGE ST-02T for a). ± 1x300 MVAr STATCOM with 2x125 MVAr MSC, 1x125 MVAr MSR at Ramgarh along with associated bays in Bus Section-I; b). ± 1x300 MVAr STATCOM with 2x125 MVAr MSC, 1x125 MVAr MSR at Ramgarh along with associated bays in Bus Section-II under “Transmission system for evacuation of power from REZ in Rajasthan (20GW) under Phase-III Part C1</w:t>
    </w:r>
    <w:proofErr w:type="gramStart"/>
    <w:r w:rsidRPr="003C4A4A">
      <w:rPr>
        <w:rFonts w:ascii="Book Antiqua" w:hAnsi="Book Antiqua"/>
        <w:sz w:val="22"/>
        <w:szCs w:val="22"/>
      </w:rPr>
      <w:t>”;Spec.</w:t>
    </w:r>
    <w:proofErr w:type="gramEnd"/>
    <w:r w:rsidRPr="003C4A4A">
      <w:rPr>
        <w:rFonts w:ascii="Book Antiqua" w:hAnsi="Book Antiqua"/>
        <w:sz w:val="22"/>
        <w:szCs w:val="22"/>
      </w:rPr>
      <w:t xml:space="preserve"> No.:   CC/NT/W-STAT/DOM/A00/23/11098</w:t>
    </w:r>
  </w:p>
  <w:p w14:paraId="59A57284" w14:textId="77777777" w:rsidR="00FB6B46" w:rsidRPr="001276D7" w:rsidRDefault="00FB6B46" w:rsidP="00127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69C"/>
    <w:multiLevelType w:val="hybridMultilevel"/>
    <w:tmpl w:val="D3DACD64"/>
    <w:lvl w:ilvl="0" w:tplc="26B07700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61B"/>
    <w:multiLevelType w:val="hybridMultilevel"/>
    <w:tmpl w:val="0FC0940C"/>
    <w:lvl w:ilvl="0" w:tplc="C53C172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1721">
    <w:abstractNumId w:val="1"/>
  </w:num>
  <w:num w:numId="2" w16cid:durableId="135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4"/>
    <w:rsid w:val="00050A35"/>
    <w:rsid w:val="0005657E"/>
    <w:rsid w:val="000B13E4"/>
    <w:rsid w:val="000C1B38"/>
    <w:rsid w:val="000C7069"/>
    <w:rsid w:val="001276D7"/>
    <w:rsid w:val="001957EC"/>
    <w:rsid w:val="001F6388"/>
    <w:rsid w:val="00251676"/>
    <w:rsid w:val="00264346"/>
    <w:rsid w:val="002B04CB"/>
    <w:rsid w:val="002D0B38"/>
    <w:rsid w:val="003125A4"/>
    <w:rsid w:val="0040192E"/>
    <w:rsid w:val="004B4344"/>
    <w:rsid w:val="004C0A80"/>
    <w:rsid w:val="004F73E5"/>
    <w:rsid w:val="00517D1C"/>
    <w:rsid w:val="00537E0E"/>
    <w:rsid w:val="00550800"/>
    <w:rsid w:val="005A3B13"/>
    <w:rsid w:val="005E4064"/>
    <w:rsid w:val="005E5CFD"/>
    <w:rsid w:val="0065611F"/>
    <w:rsid w:val="00695E66"/>
    <w:rsid w:val="006C1325"/>
    <w:rsid w:val="006C3DF0"/>
    <w:rsid w:val="00773DBA"/>
    <w:rsid w:val="007A33A0"/>
    <w:rsid w:val="007B60AD"/>
    <w:rsid w:val="007F662A"/>
    <w:rsid w:val="00802E62"/>
    <w:rsid w:val="00837380"/>
    <w:rsid w:val="008A1F7A"/>
    <w:rsid w:val="00901196"/>
    <w:rsid w:val="00905069"/>
    <w:rsid w:val="00931F82"/>
    <w:rsid w:val="009E5D95"/>
    <w:rsid w:val="00A17232"/>
    <w:rsid w:val="00A54D9F"/>
    <w:rsid w:val="00A76B4A"/>
    <w:rsid w:val="00A80BB9"/>
    <w:rsid w:val="00A84679"/>
    <w:rsid w:val="00AB0B91"/>
    <w:rsid w:val="00AB560F"/>
    <w:rsid w:val="00AC3CD8"/>
    <w:rsid w:val="00AF53F4"/>
    <w:rsid w:val="00B0066A"/>
    <w:rsid w:val="00B163A1"/>
    <w:rsid w:val="00B65506"/>
    <w:rsid w:val="00BA07D1"/>
    <w:rsid w:val="00BC4B01"/>
    <w:rsid w:val="00BE6793"/>
    <w:rsid w:val="00C510A5"/>
    <w:rsid w:val="00C93FD4"/>
    <w:rsid w:val="00CC4C6F"/>
    <w:rsid w:val="00CD7F98"/>
    <w:rsid w:val="00CF7F86"/>
    <w:rsid w:val="00D10925"/>
    <w:rsid w:val="00D31B04"/>
    <w:rsid w:val="00D715B1"/>
    <w:rsid w:val="00DE0B89"/>
    <w:rsid w:val="00E26A12"/>
    <w:rsid w:val="00F52E1C"/>
    <w:rsid w:val="00FB26DB"/>
    <w:rsid w:val="00FB6B46"/>
    <w:rsid w:val="00FC0AF0"/>
    <w:rsid w:val="00FD196A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322F"/>
  <w15:chartTrackingRefBased/>
  <w15:docId w15:val="{ACD50F55-2C9A-44C0-AB80-7A678E32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A33A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3125A4"/>
    <w:pPr>
      <w:spacing w:before="100" w:beforeAutospacing="1" w:after="100" w:afterAutospacing="1"/>
    </w:pPr>
    <w:rPr>
      <w:lang w:val="en-IN" w:eastAsia="en-IN"/>
    </w:rPr>
  </w:style>
  <w:style w:type="character" w:customStyle="1" w:styleId="normaltextrun">
    <w:name w:val="normaltextrun"/>
    <w:basedOn w:val="DefaultParagraphFont"/>
    <w:rsid w:val="003125A4"/>
  </w:style>
  <w:style w:type="paragraph" w:styleId="ListParagraph">
    <w:name w:val="List Paragraph"/>
    <w:basedOn w:val="Normal"/>
    <w:uiPriority w:val="34"/>
    <w:qFormat/>
    <w:rsid w:val="007F662A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kern w:val="2"/>
      <w:sz w:val="22"/>
      <w:szCs w:val="20"/>
      <w:lang w:val="en-IN" w:bidi="hi-IN"/>
      <w14:ligatures w14:val="standardContextual"/>
    </w:rPr>
  </w:style>
  <w:style w:type="paragraph" w:styleId="Header">
    <w:name w:val="header"/>
    <w:aliases w:val="Char2"/>
    <w:basedOn w:val="Normal"/>
    <w:link w:val="HeaderChar"/>
    <w:unhideWhenUsed/>
    <w:rsid w:val="00FB6B4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2 Char"/>
    <w:basedOn w:val="DefaultParagraphFont"/>
    <w:link w:val="Header"/>
    <w:rsid w:val="00FB6B46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46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table" w:styleId="TableGrid">
    <w:name w:val="Table Grid"/>
    <w:basedOn w:val="TableNormal"/>
    <w:uiPriority w:val="59"/>
    <w:rsid w:val="00695E66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4B01"/>
    <w:pPr>
      <w:spacing w:before="100" w:beforeAutospacing="1" w:after="100" w:afterAutospacing="1"/>
    </w:pPr>
    <w:rPr>
      <w:lang w:val="en-IN" w:eastAsia="en-IN" w:bidi="hi-IN"/>
    </w:rPr>
  </w:style>
  <w:style w:type="character" w:styleId="Emphasis">
    <w:name w:val="Emphasis"/>
    <w:basedOn w:val="DefaultParagraphFont"/>
    <w:uiPriority w:val="20"/>
    <w:qFormat/>
    <w:rsid w:val="00BC4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Umesh Kumar Yadav {उमेश कुमार यादव}</cp:lastModifiedBy>
  <cp:revision>58</cp:revision>
  <cp:lastPrinted>2024-01-23T12:24:00Z</cp:lastPrinted>
  <dcterms:created xsi:type="dcterms:W3CDTF">2024-01-19T04:31:00Z</dcterms:created>
  <dcterms:modified xsi:type="dcterms:W3CDTF">2024-01-31T08:37:00Z</dcterms:modified>
</cp:coreProperties>
</file>