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60"/>
        <w:gridCol w:w="4050"/>
        <w:gridCol w:w="6300"/>
        <w:gridCol w:w="2610"/>
      </w:tblGrid>
      <w:tr w:rsidR="00EB1757" w:rsidRPr="00FB3D0B" w:rsidTr="004558A4">
        <w:trPr>
          <w:trHeight w:val="758"/>
        </w:trPr>
        <w:tc>
          <w:tcPr>
            <w:tcW w:w="540" w:type="dxa"/>
          </w:tcPr>
          <w:p w:rsidR="00EB1757" w:rsidRPr="004558A4" w:rsidRDefault="00EB1757" w:rsidP="00B258AD">
            <w:pPr>
              <w:pStyle w:val="TableParagraph"/>
              <w:spacing w:before="1"/>
              <w:rPr>
                <w:rFonts w:asciiTheme="minorHAnsi" w:hAnsiTheme="minorHAnsi" w:cstheme="minorHAnsi"/>
                <w:b/>
              </w:rPr>
            </w:pPr>
            <w:r w:rsidRPr="004558A4">
              <w:rPr>
                <w:rFonts w:asciiTheme="minorHAnsi" w:hAnsiTheme="minorHAnsi" w:cstheme="minorHAnsi"/>
                <w:b/>
              </w:rPr>
              <w:t>Sr.</w:t>
            </w:r>
          </w:p>
          <w:p w:rsidR="00EB1757" w:rsidRPr="004558A4" w:rsidRDefault="00EB1757" w:rsidP="00DA7BBC">
            <w:pPr>
              <w:pStyle w:val="TableParagraph"/>
              <w:spacing w:before="1"/>
              <w:ind w:left="107"/>
              <w:rPr>
                <w:rFonts w:asciiTheme="minorHAnsi" w:hAnsiTheme="minorHAnsi" w:cstheme="minorHAnsi"/>
                <w:b/>
              </w:rPr>
            </w:pPr>
            <w:r w:rsidRPr="004558A4">
              <w:rPr>
                <w:rFonts w:asciiTheme="minorHAnsi" w:hAnsiTheme="minorHAnsi" w:cstheme="minorHAnsi"/>
                <w:b/>
              </w:rPr>
              <w:t>No.</w:t>
            </w:r>
          </w:p>
        </w:tc>
        <w:tc>
          <w:tcPr>
            <w:tcW w:w="2160" w:type="dxa"/>
          </w:tcPr>
          <w:p w:rsidR="00EB1757" w:rsidRPr="004558A4" w:rsidRDefault="00EB1757" w:rsidP="00DA7BBC">
            <w:pPr>
              <w:pStyle w:val="TableParagraph"/>
              <w:spacing w:before="1"/>
              <w:rPr>
                <w:rFonts w:asciiTheme="minorHAnsi" w:hAnsiTheme="minorHAnsi" w:cstheme="minorHAnsi"/>
                <w:b/>
              </w:rPr>
            </w:pPr>
            <w:r w:rsidRPr="004558A4">
              <w:rPr>
                <w:rFonts w:asciiTheme="minorHAnsi" w:hAnsiTheme="minorHAnsi" w:cstheme="minorHAnsi"/>
                <w:b/>
                <w:spacing w:val="-1"/>
              </w:rPr>
              <w:t>Reference</w:t>
            </w:r>
            <w:r w:rsidRPr="004558A4">
              <w:rPr>
                <w:rFonts w:asciiTheme="minorHAnsi" w:hAnsiTheme="minorHAnsi" w:cstheme="minorHAnsi"/>
                <w:b/>
                <w:spacing w:val="-48"/>
              </w:rPr>
              <w:t xml:space="preserve"> </w:t>
            </w:r>
            <w:r w:rsidRPr="004558A4">
              <w:rPr>
                <w:rFonts w:asciiTheme="minorHAnsi" w:hAnsiTheme="minorHAnsi" w:cstheme="minorHAnsi"/>
                <w:b/>
              </w:rPr>
              <w:t>Clause</w:t>
            </w:r>
          </w:p>
        </w:tc>
        <w:tc>
          <w:tcPr>
            <w:tcW w:w="4050" w:type="dxa"/>
          </w:tcPr>
          <w:p w:rsidR="00EB1757" w:rsidRPr="004558A4" w:rsidRDefault="00EB1757" w:rsidP="004558A4">
            <w:pPr>
              <w:pStyle w:val="TableParagraph"/>
              <w:spacing w:before="1"/>
              <w:ind w:right="90"/>
              <w:rPr>
                <w:rFonts w:asciiTheme="minorHAnsi" w:hAnsiTheme="minorHAnsi" w:cstheme="minorHAnsi"/>
                <w:b/>
              </w:rPr>
            </w:pPr>
            <w:r w:rsidRPr="004558A4">
              <w:rPr>
                <w:rFonts w:asciiTheme="minorHAnsi" w:hAnsiTheme="minorHAnsi" w:cstheme="minorHAnsi"/>
                <w:b/>
              </w:rPr>
              <w:t>Details of item</w:t>
            </w:r>
          </w:p>
        </w:tc>
        <w:tc>
          <w:tcPr>
            <w:tcW w:w="6300" w:type="dxa"/>
          </w:tcPr>
          <w:p w:rsidR="00EB1757" w:rsidRPr="004558A4" w:rsidRDefault="00EB1757" w:rsidP="004558A4">
            <w:pPr>
              <w:pStyle w:val="TableParagraph"/>
              <w:spacing w:before="1"/>
              <w:ind w:right="90"/>
              <w:rPr>
                <w:rFonts w:asciiTheme="minorHAnsi" w:hAnsiTheme="minorHAnsi" w:cstheme="minorHAnsi"/>
                <w:b/>
              </w:rPr>
            </w:pPr>
            <w:r w:rsidRPr="004558A4">
              <w:rPr>
                <w:rFonts w:asciiTheme="minorHAnsi" w:hAnsiTheme="minorHAnsi" w:cstheme="minorHAnsi"/>
                <w:b/>
              </w:rPr>
              <w:t>Query</w:t>
            </w:r>
            <w:r w:rsidR="00053B33" w:rsidRPr="004558A4">
              <w:rPr>
                <w:rFonts w:asciiTheme="minorHAnsi" w:hAnsiTheme="minorHAnsi" w:cstheme="minorHAnsi"/>
                <w:b/>
              </w:rPr>
              <w:t xml:space="preserve"> raised by Bidder</w:t>
            </w:r>
          </w:p>
        </w:tc>
        <w:tc>
          <w:tcPr>
            <w:tcW w:w="2610" w:type="dxa"/>
          </w:tcPr>
          <w:p w:rsidR="00EB1757" w:rsidRPr="004558A4" w:rsidRDefault="00EB1757" w:rsidP="00E21BC4">
            <w:pPr>
              <w:pStyle w:val="TableParagraph"/>
              <w:spacing w:before="1"/>
              <w:ind w:left="108" w:right="409"/>
              <w:rPr>
                <w:rFonts w:asciiTheme="minorHAnsi" w:hAnsiTheme="minorHAnsi" w:cstheme="minorHAnsi"/>
                <w:b/>
              </w:rPr>
            </w:pPr>
            <w:r w:rsidRPr="004558A4">
              <w:rPr>
                <w:rFonts w:asciiTheme="minorHAnsi" w:hAnsiTheme="minorHAnsi" w:cstheme="minorHAnsi"/>
                <w:b/>
                <w:spacing w:val="-1"/>
              </w:rPr>
              <w:t>POWERGRID Response</w:t>
            </w:r>
          </w:p>
        </w:tc>
      </w:tr>
      <w:tr w:rsidR="00EB1757" w:rsidRPr="00FB3D0B" w:rsidTr="004558A4">
        <w:trPr>
          <w:trHeight w:val="2627"/>
        </w:trPr>
        <w:tc>
          <w:tcPr>
            <w:tcW w:w="540" w:type="dxa"/>
          </w:tcPr>
          <w:p w:rsidR="00EB1757" w:rsidRPr="004558A4" w:rsidRDefault="00EB1757" w:rsidP="004558A4">
            <w:pPr>
              <w:pStyle w:val="TableParagraph"/>
              <w:spacing w:line="226" w:lineRule="exact"/>
              <w:ind w:left="0" w:right="185"/>
              <w:jc w:val="both"/>
              <w:rPr>
                <w:rFonts w:asciiTheme="minorHAnsi" w:hAnsiTheme="minorHAnsi" w:cstheme="minorHAnsi"/>
              </w:rPr>
            </w:pPr>
            <w:r w:rsidRPr="004558A4">
              <w:rPr>
                <w:rFonts w:asciiTheme="minorHAnsi" w:hAnsiTheme="minorHAnsi" w:cstheme="minorHAnsi"/>
              </w:rPr>
              <w:t>1.</w:t>
            </w:r>
          </w:p>
        </w:tc>
        <w:tc>
          <w:tcPr>
            <w:tcW w:w="2160" w:type="dxa"/>
          </w:tcPr>
          <w:p w:rsidR="00EB1757" w:rsidRPr="004558A4" w:rsidRDefault="00EB1757" w:rsidP="004558A4">
            <w:pPr>
              <w:pStyle w:val="TableParagraph"/>
              <w:ind w:left="108" w:right="266"/>
              <w:jc w:val="both"/>
              <w:rPr>
                <w:rFonts w:asciiTheme="minorHAnsi" w:hAnsiTheme="minorHAnsi" w:cstheme="minorHAnsi"/>
              </w:rPr>
            </w:pPr>
            <w:r w:rsidRPr="004558A4">
              <w:rPr>
                <w:rFonts w:asciiTheme="minorHAnsi" w:hAnsiTheme="minorHAnsi" w:cstheme="minorHAnsi"/>
              </w:rPr>
              <w:t>Section-III:</w:t>
            </w:r>
            <w:r w:rsidRPr="004558A4">
              <w:rPr>
                <w:rFonts w:asciiTheme="minorHAnsi" w:hAnsiTheme="minorHAnsi" w:cstheme="minorHAnsi"/>
                <w:spacing w:val="1"/>
              </w:rPr>
              <w:t xml:space="preserve"> </w:t>
            </w:r>
            <w:r w:rsidRPr="004558A4">
              <w:rPr>
                <w:rFonts w:asciiTheme="minorHAnsi" w:hAnsiTheme="minorHAnsi" w:cstheme="minorHAnsi"/>
                <w:spacing w:val="-1"/>
              </w:rPr>
              <w:t xml:space="preserve">Conditions </w:t>
            </w:r>
            <w:r w:rsidRPr="004558A4">
              <w:rPr>
                <w:rFonts w:asciiTheme="minorHAnsi" w:hAnsiTheme="minorHAnsi" w:cstheme="minorHAnsi"/>
              </w:rPr>
              <w:t>of</w:t>
            </w:r>
            <w:r w:rsidRPr="004558A4">
              <w:rPr>
                <w:rFonts w:asciiTheme="minorHAnsi" w:hAnsiTheme="minorHAnsi" w:cstheme="minorHAnsi"/>
                <w:spacing w:val="-46"/>
              </w:rPr>
              <w:t xml:space="preserve"> </w:t>
            </w:r>
            <w:r w:rsidRPr="004558A4">
              <w:rPr>
                <w:rFonts w:asciiTheme="minorHAnsi" w:hAnsiTheme="minorHAnsi" w:cstheme="minorHAnsi"/>
              </w:rPr>
              <w:t>Contracts</w:t>
            </w:r>
          </w:p>
          <w:p w:rsidR="00EB1757" w:rsidRPr="004558A4" w:rsidRDefault="00EB1757" w:rsidP="004558A4">
            <w:pPr>
              <w:pStyle w:val="TableParagraph"/>
              <w:spacing w:before="10"/>
              <w:ind w:left="0"/>
              <w:jc w:val="both"/>
              <w:rPr>
                <w:rFonts w:asciiTheme="minorHAnsi" w:hAnsiTheme="minorHAnsi" w:cstheme="minorHAnsi"/>
              </w:rPr>
            </w:pPr>
          </w:p>
          <w:p w:rsidR="00EB1757" w:rsidRPr="004558A4" w:rsidRDefault="00EB1757" w:rsidP="004558A4">
            <w:pPr>
              <w:pStyle w:val="TableParagraph"/>
              <w:ind w:left="108" w:right="184"/>
              <w:jc w:val="both"/>
              <w:rPr>
                <w:rFonts w:asciiTheme="minorHAnsi" w:hAnsiTheme="minorHAnsi" w:cstheme="minorHAnsi"/>
              </w:rPr>
            </w:pPr>
            <w:r w:rsidRPr="004558A4">
              <w:rPr>
                <w:rFonts w:asciiTheme="minorHAnsi" w:hAnsiTheme="minorHAnsi" w:cstheme="minorHAnsi"/>
              </w:rPr>
              <w:t>Clause 2.2:</w:t>
            </w:r>
            <w:r w:rsidRPr="004558A4">
              <w:rPr>
                <w:rFonts w:asciiTheme="minorHAnsi" w:hAnsiTheme="minorHAnsi" w:cstheme="minorHAnsi"/>
                <w:spacing w:val="1"/>
              </w:rPr>
              <w:t xml:space="preserve"> </w:t>
            </w:r>
            <w:r w:rsidRPr="004558A4">
              <w:rPr>
                <w:rFonts w:asciiTheme="minorHAnsi" w:hAnsiTheme="minorHAnsi" w:cstheme="minorHAnsi"/>
              </w:rPr>
              <w:t>Selection of</w:t>
            </w:r>
            <w:r w:rsidRPr="004558A4">
              <w:rPr>
                <w:rFonts w:asciiTheme="minorHAnsi" w:hAnsiTheme="minorHAnsi" w:cstheme="minorHAnsi"/>
                <w:spacing w:val="1"/>
              </w:rPr>
              <w:t xml:space="preserve"> </w:t>
            </w:r>
            <w:r w:rsidRPr="004558A4">
              <w:rPr>
                <w:rFonts w:asciiTheme="minorHAnsi" w:hAnsiTheme="minorHAnsi" w:cstheme="minorHAnsi"/>
              </w:rPr>
              <w:t>Consultants</w:t>
            </w:r>
            <w:r w:rsidRPr="004558A4">
              <w:rPr>
                <w:rFonts w:asciiTheme="minorHAnsi" w:hAnsiTheme="minorHAnsi" w:cstheme="minorHAnsi"/>
                <w:spacing w:val="1"/>
              </w:rPr>
              <w:t xml:space="preserve"> </w:t>
            </w:r>
            <w:r w:rsidRPr="004558A4">
              <w:rPr>
                <w:rFonts w:asciiTheme="minorHAnsi" w:hAnsiTheme="minorHAnsi" w:cstheme="minorHAnsi"/>
              </w:rPr>
              <w:t>Point 2.2.0</w:t>
            </w:r>
            <w:r w:rsidRPr="004558A4">
              <w:rPr>
                <w:rFonts w:asciiTheme="minorHAnsi" w:hAnsiTheme="minorHAnsi" w:cstheme="minorHAnsi"/>
                <w:spacing w:val="1"/>
              </w:rPr>
              <w:t xml:space="preserve"> </w:t>
            </w:r>
            <w:r w:rsidRPr="004558A4">
              <w:rPr>
                <w:rFonts w:asciiTheme="minorHAnsi" w:hAnsiTheme="minorHAnsi" w:cstheme="minorHAnsi"/>
              </w:rPr>
              <w:t>(Pg.</w:t>
            </w:r>
            <w:r w:rsidRPr="004558A4">
              <w:rPr>
                <w:rFonts w:asciiTheme="minorHAnsi" w:hAnsiTheme="minorHAnsi" w:cstheme="minorHAnsi"/>
                <w:spacing w:val="-11"/>
              </w:rPr>
              <w:t xml:space="preserve"> </w:t>
            </w:r>
            <w:r w:rsidRPr="004558A4">
              <w:rPr>
                <w:rFonts w:asciiTheme="minorHAnsi" w:hAnsiTheme="minorHAnsi" w:cstheme="minorHAnsi"/>
              </w:rPr>
              <w:t>No.</w:t>
            </w:r>
            <w:r w:rsidRPr="004558A4">
              <w:rPr>
                <w:rFonts w:asciiTheme="minorHAnsi" w:hAnsiTheme="minorHAnsi" w:cstheme="minorHAnsi"/>
                <w:spacing w:val="-7"/>
              </w:rPr>
              <w:t xml:space="preserve"> </w:t>
            </w:r>
            <w:r w:rsidRPr="004558A4">
              <w:rPr>
                <w:rFonts w:asciiTheme="minorHAnsi" w:hAnsiTheme="minorHAnsi" w:cstheme="minorHAnsi"/>
              </w:rPr>
              <w:t>6/28)</w:t>
            </w:r>
          </w:p>
        </w:tc>
        <w:tc>
          <w:tcPr>
            <w:tcW w:w="4050" w:type="dxa"/>
          </w:tcPr>
          <w:p w:rsidR="00EB1757" w:rsidRPr="004558A4" w:rsidRDefault="00EB1757" w:rsidP="004558A4">
            <w:pPr>
              <w:pStyle w:val="TableParagraph"/>
              <w:ind w:right="90"/>
              <w:jc w:val="both"/>
              <w:rPr>
                <w:rFonts w:asciiTheme="minorHAnsi" w:hAnsiTheme="minorHAnsi" w:cstheme="minorHAnsi"/>
              </w:rPr>
            </w:pPr>
            <w:r w:rsidRPr="004558A4">
              <w:rPr>
                <w:rFonts w:asciiTheme="minorHAnsi" w:hAnsiTheme="minorHAnsi" w:cstheme="minorHAnsi"/>
              </w:rPr>
              <w:t xml:space="preserve"> ‘The Bidders / Consultants</w:t>
            </w:r>
            <w:r w:rsidRPr="004558A4">
              <w:rPr>
                <w:rFonts w:asciiTheme="minorHAnsi" w:hAnsiTheme="minorHAnsi" w:cstheme="minorHAnsi"/>
                <w:spacing w:val="1"/>
              </w:rPr>
              <w:t xml:space="preserve"> </w:t>
            </w:r>
            <w:r w:rsidRPr="004558A4">
              <w:rPr>
                <w:rFonts w:asciiTheme="minorHAnsi" w:hAnsiTheme="minorHAnsi" w:cstheme="minorHAnsi"/>
              </w:rPr>
              <w:t>shall not be engaged with any other Bidders/Competitors for preparation of</w:t>
            </w:r>
            <w:r w:rsidRPr="004558A4">
              <w:rPr>
                <w:rFonts w:asciiTheme="minorHAnsi" w:hAnsiTheme="minorHAnsi" w:cstheme="minorHAnsi"/>
                <w:spacing w:val="1"/>
              </w:rPr>
              <w:t xml:space="preserve"> </w:t>
            </w:r>
            <w:r w:rsidRPr="004558A4">
              <w:rPr>
                <w:rFonts w:asciiTheme="minorHAnsi" w:hAnsiTheme="minorHAnsi" w:cstheme="minorHAnsi"/>
              </w:rPr>
              <w:t>Bid</w:t>
            </w:r>
            <w:r w:rsidRPr="004558A4">
              <w:rPr>
                <w:rFonts w:asciiTheme="minorHAnsi" w:hAnsiTheme="minorHAnsi" w:cstheme="minorHAnsi"/>
                <w:spacing w:val="-3"/>
              </w:rPr>
              <w:t xml:space="preserve"> </w:t>
            </w:r>
            <w:r w:rsidRPr="004558A4">
              <w:rPr>
                <w:rFonts w:asciiTheme="minorHAnsi" w:hAnsiTheme="minorHAnsi" w:cstheme="minorHAnsi"/>
              </w:rPr>
              <w:t>response</w:t>
            </w:r>
            <w:r w:rsidRPr="004558A4">
              <w:rPr>
                <w:rFonts w:asciiTheme="minorHAnsi" w:hAnsiTheme="minorHAnsi" w:cstheme="minorHAnsi"/>
                <w:spacing w:val="-1"/>
              </w:rPr>
              <w:t xml:space="preserve"> </w:t>
            </w:r>
            <w:r w:rsidRPr="004558A4">
              <w:rPr>
                <w:rFonts w:asciiTheme="minorHAnsi" w:hAnsiTheme="minorHAnsi" w:cstheme="minorHAnsi"/>
              </w:rPr>
              <w:t>for</w:t>
            </w:r>
            <w:r w:rsidRPr="004558A4">
              <w:rPr>
                <w:rFonts w:asciiTheme="minorHAnsi" w:hAnsiTheme="minorHAnsi" w:cstheme="minorHAnsi"/>
                <w:spacing w:val="-3"/>
              </w:rPr>
              <w:t xml:space="preserve"> </w:t>
            </w:r>
            <w:r w:rsidRPr="004558A4">
              <w:rPr>
                <w:rFonts w:asciiTheme="minorHAnsi" w:hAnsiTheme="minorHAnsi" w:cstheme="minorHAnsi"/>
              </w:rPr>
              <w:t>500</w:t>
            </w:r>
            <w:r w:rsidRPr="004558A4">
              <w:rPr>
                <w:rFonts w:asciiTheme="minorHAnsi" w:hAnsiTheme="minorHAnsi" w:cstheme="minorHAnsi"/>
                <w:spacing w:val="-4"/>
              </w:rPr>
              <w:t xml:space="preserve"> </w:t>
            </w:r>
            <w:r w:rsidRPr="004558A4">
              <w:rPr>
                <w:rFonts w:asciiTheme="minorHAnsi" w:hAnsiTheme="minorHAnsi" w:cstheme="minorHAnsi"/>
              </w:rPr>
              <w:t>MW</w:t>
            </w:r>
            <w:r w:rsidRPr="004558A4">
              <w:rPr>
                <w:rFonts w:asciiTheme="minorHAnsi" w:hAnsiTheme="minorHAnsi" w:cstheme="minorHAnsi"/>
                <w:spacing w:val="-3"/>
              </w:rPr>
              <w:t xml:space="preserve"> </w:t>
            </w:r>
            <w:r w:rsidRPr="004558A4">
              <w:rPr>
                <w:rFonts w:asciiTheme="minorHAnsi" w:hAnsiTheme="minorHAnsi" w:cstheme="minorHAnsi"/>
              </w:rPr>
              <w:t>/</w:t>
            </w:r>
            <w:r w:rsidRPr="004558A4">
              <w:rPr>
                <w:rFonts w:asciiTheme="minorHAnsi" w:hAnsiTheme="minorHAnsi" w:cstheme="minorHAnsi"/>
                <w:spacing w:val="-1"/>
              </w:rPr>
              <w:t xml:space="preserve"> </w:t>
            </w:r>
            <w:r w:rsidRPr="004558A4">
              <w:rPr>
                <w:rFonts w:asciiTheme="minorHAnsi" w:hAnsiTheme="minorHAnsi" w:cstheme="minorHAnsi"/>
              </w:rPr>
              <w:t>1000</w:t>
            </w:r>
            <w:r w:rsidRPr="004558A4">
              <w:rPr>
                <w:rFonts w:asciiTheme="minorHAnsi" w:hAnsiTheme="minorHAnsi" w:cstheme="minorHAnsi"/>
                <w:spacing w:val="-4"/>
              </w:rPr>
              <w:t xml:space="preserve"> </w:t>
            </w:r>
            <w:r w:rsidRPr="004558A4">
              <w:rPr>
                <w:rFonts w:asciiTheme="minorHAnsi" w:hAnsiTheme="minorHAnsi" w:cstheme="minorHAnsi"/>
              </w:rPr>
              <w:t>MWh</w:t>
            </w:r>
            <w:r w:rsidRPr="004558A4">
              <w:rPr>
                <w:rFonts w:asciiTheme="minorHAnsi" w:hAnsiTheme="minorHAnsi" w:cstheme="minorHAnsi"/>
                <w:spacing w:val="-4"/>
              </w:rPr>
              <w:t xml:space="preserve"> </w:t>
            </w:r>
            <w:r w:rsidRPr="004558A4">
              <w:rPr>
                <w:rFonts w:asciiTheme="minorHAnsi" w:hAnsiTheme="minorHAnsi" w:cstheme="minorHAnsi"/>
              </w:rPr>
              <w:t>BESS</w:t>
            </w:r>
            <w:r w:rsidRPr="004558A4">
              <w:rPr>
                <w:rFonts w:asciiTheme="minorHAnsi" w:hAnsiTheme="minorHAnsi" w:cstheme="minorHAnsi"/>
                <w:spacing w:val="-2"/>
              </w:rPr>
              <w:t xml:space="preserve"> </w:t>
            </w:r>
            <w:r w:rsidRPr="004558A4">
              <w:rPr>
                <w:rFonts w:asciiTheme="minorHAnsi" w:hAnsiTheme="minorHAnsi" w:cstheme="minorHAnsi"/>
              </w:rPr>
              <w:t>project(s)</w:t>
            </w:r>
            <w:r w:rsidRPr="004558A4">
              <w:rPr>
                <w:rFonts w:asciiTheme="minorHAnsi" w:hAnsiTheme="minorHAnsi" w:cstheme="minorHAnsi"/>
                <w:spacing w:val="-3"/>
              </w:rPr>
              <w:t xml:space="preserve"> </w:t>
            </w:r>
            <w:r w:rsidRPr="004558A4">
              <w:rPr>
                <w:rFonts w:asciiTheme="minorHAnsi" w:hAnsiTheme="minorHAnsi" w:cstheme="minorHAnsi"/>
              </w:rPr>
              <w:t>floated</w:t>
            </w:r>
            <w:r w:rsidRPr="004558A4">
              <w:rPr>
                <w:rFonts w:asciiTheme="minorHAnsi" w:hAnsiTheme="minorHAnsi" w:cstheme="minorHAnsi"/>
                <w:spacing w:val="-3"/>
              </w:rPr>
              <w:t xml:space="preserve"> </w:t>
            </w:r>
            <w:r w:rsidRPr="004558A4">
              <w:rPr>
                <w:rFonts w:asciiTheme="minorHAnsi" w:hAnsiTheme="minorHAnsi" w:cstheme="minorHAnsi"/>
              </w:rPr>
              <w:t>under</w:t>
            </w:r>
            <w:r w:rsidRPr="004558A4">
              <w:rPr>
                <w:rFonts w:asciiTheme="minorHAnsi" w:hAnsiTheme="minorHAnsi" w:cstheme="minorHAnsi"/>
                <w:spacing w:val="-4"/>
              </w:rPr>
              <w:t xml:space="preserve"> </w:t>
            </w:r>
            <w:r w:rsidRPr="004558A4">
              <w:rPr>
                <w:rFonts w:asciiTheme="minorHAnsi" w:hAnsiTheme="minorHAnsi" w:cstheme="minorHAnsi"/>
              </w:rPr>
              <w:t>Global</w:t>
            </w:r>
            <w:r w:rsidRPr="004558A4">
              <w:rPr>
                <w:rFonts w:asciiTheme="minorHAnsi" w:hAnsiTheme="minorHAnsi" w:cstheme="minorHAnsi"/>
                <w:spacing w:val="-45"/>
              </w:rPr>
              <w:t xml:space="preserve"> </w:t>
            </w:r>
            <w:r w:rsidRPr="004558A4">
              <w:rPr>
                <w:rFonts w:asciiTheme="minorHAnsi" w:hAnsiTheme="minorHAnsi" w:cstheme="minorHAnsi"/>
              </w:rPr>
              <w:t>Competitive Bidding by SECI as a Consultant directly; or indirectly through</w:t>
            </w:r>
            <w:r w:rsidRPr="004558A4">
              <w:rPr>
                <w:rFonts w:asciiTheme="minorHAnsi" w:hAnsiTheme="minorHAnsi" w:cstheme="minorHAnsi"/>
                <w:spacing w:val="1"/>
              </w:rPr>
              <w:t xml:space="preserve"> </w:t>
            </w:r>
            <w:r w:rsidRPr="004558A4">
              <w:rPr>
                <w:rFonts w:asciiTheme="minorHAnsi" w:hAnsiTheme="minorHAnsi" w:cstheme="minorHAnsi"/>
              </w:rPr>
              <w:t>their Subsidiaries, Group Companies, Partnership, Ownership, Individual</w:t>
            </w:r>
            <w:r w:rsidRPr="004558A4">
              <w:rPr>
                <w:rFonts w:asciiTheme="minorHAnsi" w:hAnsiTheme="minorHAnsi" w:cstheme="minorHAnsi"/>
                <w:spacing w:val="1"/>
              </w:rPr>
              <w:t xml:space="preserve"> </w:t>
            </w:r>
            <w:r w:rsidRPr="004558A4">
              <w:rPr>
                <w:rFonts w:asciiTheme="minorHAnsi" w:hAnsiTheme="minorHAnsi" w:cstheme="minorHAnsi"/>
              </w:rPr>
              <w:t>firm’.</w:t>
            </w:r>
          </w:p>
          <w:p w:rsidR="00EB1757" w:rsidRPr="004558A4" w:rsidRDefault="00EB1757" w:rsidP="004558A4">
            <w:pPr>
              <w:pStyle w:val="TableParagraph"/>
              <w:ind w:right="90"/>
              <w:jc w:val="both"/>
              <w:rPr>
                <w:rFonts w:asciiTheme="minorHAnsi" w:hAnsiTheme="minorHAnsi" w:cstheme="minorHAnsi"/>
                <w:b/>
              </w:rPr>
            </w:pPr>
          </w:p>
        </w:tc>
        <w:tc>
          <w:tcPr>
            <w:tcW w:w="6300" w:type="dxa"/>
          </w:tcPr>
          <w:p w:rsidR="005715CA" w:rsidRPr="005715CA" w:rsidRDefault="005715CA" w:rsidP="00594D5C">
            <w:pPr>
              <w:ind w:left="91" w:right="175"/>
              <w:jc w:val="both"/>
              <w:rPr>
                <w:rFonts w:cstheme="minorHAnsi"/>
              </w:rPr>
            </w:pPr>
            <w:r w:rsidRPr="005715CA">
              <w:rPr>
                <w:rFonts w:cstheme="minorHAnsi"/>
              </w:rPr>
              <w:t>The current clause states that ‘The Bidders / Consultants shall not be engaged with any other Bidders/Competitors for preparation of Bid response for 500 MW / 1000 MWh BESS project(s) floated under Global Competitive Bidding by SECI as a Consultant directly; or indirectly through their Subsidiaries, Group Companies, Partnership, Ownership, Individual firm’.</w:t>
            </w:r>
          </w:p>
          <w:p w:rsidR="005715CA" w:rsidRPr="005715CA" w:rsidRDefault="005715CA" w:rsidP="00594D5C">
            <w:pPr>
              <w:ind w:left="91" w:right="175"/>
              <w:jc w:val="both"/>
              <w:rPr>
                <w:rFonts w:cstheme="minorHAnsi"/>
              </w:rPr>
            </w:pPr>
            <w:r w:rsidRPr="005715CA">
              <w:rPr>
                <w:rFonts w:cstheme="minorHAnsi"/>
              </w:rPr>
              <w:t>We request a revision through any of the two options that may suit you:</w:t>
            </w:r>
          </w:p>
          <w:p w:rsidR="005715CA" w:rsidRPr="005715CA" w:rsidRDefault="005715CA" w:rsidP="00594D5C">
            <w:pPr>
              <w:ind w:left="91" w:right="175"/>
              <w:jc w:val="both"/>
              <w:rPr>
                <w:rFonts w:cstheme="minorHAnsi"/>
              </w:rPr>
            </w:pPr>
            <w:r w:rsidRPr="005715CA">
              <w:rPr>
                <w:rFonts w:cstheme="minorHAnsi"/>
                <w:b/>
                <w:bCs/>
              </w:rPr>
              <w:t>Option 1:</w:t>
            </w:r>
            <w:r w:rsidRPr="005715CA">
              <w:rPr>
                <w:rFonts w:cstheme="minorHAnsi"/>
              </w:rPr>
              <w:t xml:space="preserve"> Modify the clause to read "The </w:t>
            </w:r>
            <w:r w:rsidRPr="005715CA">
              <w:rPr>
                <w:rFonts w:cstheme="minorHAnsi"/>
                <w:b/>
                <w:bCs/>
              </w:rPr>
              <w:t>team members of the</w:t>
            </w:r>
            <w:r w:rsidRPr="005715CA">
              <w:rPr>
                <w:rFonts w:cstheme="minorHAnsi"/>
              </w:rPr>
              <w:t xml:space="preserve"> Bidders / Consultants </w:t>
            </w:r>
            <w:r w:rsidRPr="005715CA">
              <w:rPr>
                <w:rFonts w:cstheme="minorHAnsi"/>
                <w:b/>
                <w:bCs/>
              </w:rPr>
              <w:t>working on the project</w:t>
            </w:r>
            <w:r w:rsidRPr="005715CA">
              <w:rPr>
                <w:rFonts w:cstheme="minorHAnsi"/>
              </w:rPr>
              <w:t xml:space="preserve"> shall not be engaged with any other Bidders/Competitors for preparation of Bid response for 500 MW / 1000 MWh BESS project(s) floated under Global Competitive Bidding by SECI as a Consultant directly; or indirectly through their Subsidiaries, Group Companies, Partnership, Ownership, Individual firm"</w:t>
            </w:r>
          </w:p>
          <w:p w:rsidR="005715CA" w:rsidRPr="005715CA" w:rsidRDefault="005715CA" w:rsidP="005715CA">
            <w:pPr>
              <w:rPr>
                <w:rFonts w:cstheme="minorHAnsi"/>
              </w:rPr>
            </w:pPr>
            <w:r w:rsidRPr="005715CA">
              <w:rPr>
                <w:rFonts w:cstheme="minorHAnsi"/>
                <w:b/>
                <w:bCs/>
              </w:rPr>
              <w:t>Option 2:</w:t>
            </w:r>
            <w:r w:rsidRPr="005715CA">
              <w:rPr>
                <w:rFonts w:cstheme="minorHAnsi"/>
              </w:rPr>
              <w:t xml:space="preserve"> Include the following para after the existing clause:</w:t>
            </w:r>
          </w:p>
          <w:p w:rsidR="005715CA" w:rsidRPr="005715CA" w:rsidRDefault="005715CA" w:rsidP="00594D5C">
            <w:pPr>
              <w:ind w:left="91" w:right="175"/>
              <w:jc w:val="both"/>
              <w:rPr>
                <w:rFonts w:cstheme="minorHAnsi"/>
              </w:rPr>
            </w:pPr>
            <w:r w:rsidRPr="005715CA">
              <w:rPr>
                <w:rFonts w:cstheme="minorHAnsi"/>
              </w:rPr>
              <w:t>"</w:t>
            </w:r>
            <w:r w:rsidRPr="005715CA">
              <w:rPr>
                <w:rFonts w:cstheme="minorHAnsi"/>
                <w:b/>
                <w:bCs/>
              </w:rPr>
              <w:t xml:space="preserve">If however there is a conflict of interest, the bidder must give undertaking, regarding implementation of "Ethical walls" to operate as barriers to flow of project related </w:t>
            </w:r>
            <w:proofErr w:type="gramStart"/>
            <w:r w:rsidRPr="005715CA">
              <w:rPr>
                <w:rFonts w:cstheme="minorHAnsi"/>
                <w:b/>
                <w:bCs/>
              </w:rPr>
              <w:t>information  from</w:t>
            </w:r>
            <w:proofErr w:type="gramEnd"/>
            <w:r w:rsidRPr="005715CA">
              <w:rPr>
                <w:rFonts w:cstheme="minorHAnsi"/>
                <w:b/>
                <w:bCs/>
              </w:rPr>
              <w:t xml:space="preserve"> one part of the consultant’s company to another and a means of managing conflicts of interest, as considered appropriate. The </w:t>
            </w:r>
            <w:proofErr w:type="spellStart"/>
            <w:r w:rsidRPr="005715CA">
              <w:rPr>
                <w:rFonts w:cstheme="minorHAnsi"/>
                <w:b/>
                <w:bCs/>
              </w:rPr>
              <w:t>authorised</w:t>
            </w:r>
            <w:proofErr w:type="spellEnd"/>
            <w:r w:rsidRPr="005715CA">
              <w:rPr>
                <w:rFonts w:cstheme="minorHAnsi"/>
                <w:b/>
                <w:bCs/>
              </w:rPr>
              <w:t xml:space="preserve"> signatory to the proposal shall monitor and regulate the Company’s Ethical walls procedures. Lists of all employees and other persons with whom sensitive information is shared shall be </w:t>
            </w:r>
            <w:r w:rsidRPr="005715CA">
              <w:rPr>
                <w:rFonts w:cstheme="minorHAnsi"/>
                <w:b/>
                <w:bCs/>
              </w:rPr>
              <w:lastRenderedPageBreak/>
              <w:t>maintained and confidentiality agreements shall be signed or notice shall be served to all such employees and persons. </w:t>
            </w:r>
          </w:p>
          <w:p w:rsidR="005715CA" w:rsidRPr="005715CA" w:rsidRDefault="005715CA" w:rsidP="00594D5C">
            <w:pPr>
              <w:ind w:left="91"/>
              <w:jc w:val="both"/>
              <w:rPr>
                <w:rFonts w:cstheme="minorHAnsi"/>
              </w:rPr>
            </w:pPr>
            <w:r w:rsidRPr="005715CA">
              <w:rPr>
                <w:rFonts w:cstheme="minorHAnsi"/>
                <w:b/>
                <w:bCs/>
              </w:rPr>
              <w:t>The following indicative procedures and practices must be followed by all employees to maintain confidentiality with respect to the project information and activities:</w:t>
            </w:r>
          </w:p>
          <w:p w:rsidR="005715CA" w:rsidRPr="005715CA" w:rsidRDefault="005715CA" w:rsidP="00594D5C">
            <w:pPr>
              <w:ind w:left="91"/>
              <w:jc w:val="both"/>
              <w:rPr>
                <w:rFonts w:cstheme="minorHAnsi"/>
              </w:rPr>
            </w:pPr>
            <w:r w:rsidRPr="005715CA">
              <w:rPr>
                <w:rFonts w:cstheme="minorHAnsi"/>
                <w:b/>
                <w:bCs/>
              </w:rPr>
              <w:t>• Assigning separate teams (including practice support where appropriate).</w:t>
            </w:r>
          </w:p>
          <w:p w:rsidR="005715CA" w:rsidRPr="005715CA" w:rsidRDefault="005715CA" w:rsidP="00594D5C">
            <w:pPr>
              <w:ind w:left="91"/>
              <w:jc w:val="both"/>
              <w:rPr>
                <w:rFonts w:cstheme="minorHAnsi"/>
              </w:rPr>
            </w:pPr>
            <w:r w:rsidRPr="005715CA">
              <w:rPr>
                <w:rFonts w:cstheme="minorHAnsi"/>
                <w:b/>
                <w:bCs/>
              </w:rPr>
              <w:t>• Carrying out the engagements under code names, with instructions to engagement teams to use them at all times.  </w:t>
            </w:r>
          </w:p>
          <w:p w:rsidR="005715CA" w:rsidRPr="005715CA" w:rsidRDefault="005715CA" w:rsidP="00594D5C">
            <w:pPr>
              <w:ind w:left="91"/>
              <w:jc w:val="both"/>
              <w:rPr>
                <w:rFonts w:cstheme="minorHAnsi"/>
              </w:rPr>
            </w:pPr>
            <w:r w:rsidRPr="005715CA">
              <w:rPr>
                <w:rFonts w:cstheme="minorHAnsi"/>
                <w:b/>
                <w:bCs/>
              </w:rPr>
              <w:t>• Maintaining strict physical separation of teams and their files (through use of secure rooms or separate floors or buildings, with files locked away when not in use). </w:t>
            </w:r>
          </w:p>
          <w:p w:rsidR="005715CA" w:rsidRPr="005715CA" w:rsidRDefault="005715CA" w:rsidP="00594D5C">
            <w:pPr>
              <w:ind w:left="91"/>
              <w:jc w:val="both"/>
              <w:rPr>
                <w:rFonts w:cstheme="minorHAnsi"/>
              </w:rPr>
            </w:pPr>
            <w:r w:rsidRPr="005715CA">
              <w:rPr>
                <w:rFonts w:cstheme="minorHAnsi"/>
                <w:b/>
                <w:bCs/>
              </w:rPr>
              <w:t>• Not placing confidential client information on generally accessible databases or, if in hard copy, in accessible areas. Posting confidential information in relation to the transaction on secure databases or password protected drives. </w:t>
            </w:r>
          </w:p>
          <w:p w:rsidR="005715CA" w:rsidRPr="005715CA" w:rsidRDefault="005715CA" w:rsidP="00594D5C">
            <w:pPr>
              <w:ind w:left="91" w:right="85"/>
              <w:jc w:val="both"/>
              <w:rPr>
                <w:rFonts w:cstheme="minorHAnsi"/>
              </w:rPr>
            </w:pPr>
            <w:r w:rsidRPr="005715CA">
              <w:rPr>
                <w:rFonts w:cstheme="minorHAnsi"/>
                <w:b/>
                <w:bCs/>
              </w:rPr>
              <w:t>• Holding meetings with the clients in relation to the transaction at the clients' respective premises or in design</w:t>
            </w:r>
            <w:bookmarkStart w:id="0" w:name="_GoBack"/>
            <w:bookmarkEnd w:id="0"/>
            <w:r w:rsidRPr="005715CA">
              <w:rPr>
                <w:rFonts w:cstheme="minorHAnsi"/>
                <w:b/>
                <w:bCs/>
              </w:rPr>
              <w:t>ated meeting rooms.</w:t>
            </w:r>
          </w:p>
          <w:p w:rsidR="005715CA" w:rsidRPr="005715CA" w:rsidRDefault="005715CA" w:rsidP="00594D5C">
            <w:pPr>
              <w:ind w:left="91"/>
              <w:jc w:val="both"/>
              <w:rPr>
                <w:rFonts w:cstheme="minorHAnsi"/>
              </w:rPr>
            </w:pPr>
            <w:r w:rsidRPr="005715CA">
              <w:rPr>
                <w:rFonts w:cstheme="minorHAnsi"/>
                <w:b/>
                <w:bCs/>
              </w:rPr>
              <w:t>• Conducting business and social activities in a manner so as to avoid risking inadvertent disclosure of project related information</w:t>
            </w:r>
          </w:p>
          <w:p w:rsidR="005715CA" w:rsidRPr="005715CA" w:rsidRDefault="005715CA" w:rsidP="00594D5C">
            <w:pPr>
              <w:ind w:left="91"/>
              <w:jc w:val="both"/>
              <w:rPr>
                <w:rFonts w:cstheme="minorHAnsi"/>
              </w:rPr>
            </w:pPr>
            <w:r w:rsidRPr="005715CA">
              <w:rPr>
                <w:rFonts w:cstheme="minorHAnsi"/>
                <w:b/>
                <w:bCs/>
              </w:rPr>
              <w:t>• not review confidential documents in public places  </w:t>
            </w:r>
          </w:p>
          <w:p w:rsidR="00EB1757" w:rsidRPr="004558A4" w:rsidRDefault="00EB1757" w:rsidP="004558A4">
            <w:pPr>
              <w:pStyle w:val="TableParagraph"/>
              <w:spacing w:before="1"/>
              <w:ind w:right="90"/>
              <w:jc w:val="both"/>
              <w:rPr>
                <w:rFonts w:asciiTheme="minorHAnsi" w:hAnsiTheme="minorHAnsi" w:cstheme="minorHAnsi"/>
              </w:rPr>
            </w:pPr>
          </w:p>
        </w:tc>
        <w:tc>
          <w:tcPr>
            <w:tcW w:w="2610" w:type="dxa"/>
          </w:tcPr>
          <w:p w:rsidR="00EB1757" w:rsidRPr="004558A4" w:rsidRDefault="008817CA">
            <w:pPr>
              <w:pStyle w:val="TableParagraph"/>
              <w:ind w:left="108" w:right="184"/>
              <w:jc w:val="both"/>
              <w:rPr>
                <w:rFonts w:asciiTheme="minorHAnsi" w:hAnsiTheme="minorHAnsi" w:cstheme="minorHAnsi"/>
              </w:rPr>
            </w:pPr>
            <w:r w:rsidRPr="004558A4">
              <w:rPr>
                <w:rFonts w:asciiTheme="minorHAnsi" w:hAnsiTheme="minorHAnsi" w:cstheme="minorHAnsi"/>
                <w:color w:val="000000"/>
              </w:rPr>
              <w:lastRenderedPageBreak/>
              <w:t>Provision of the Bidding Document in this regard shall remain unchanged.</w:t>
            </w:r>
          </w:p>
        </w:tc>
      </w:tr>
    </w:tbl>
    <w:p w:rsidR="00D25682" w:rsidRPr="004558A4" w:rsidRDefault="00D25682">
      <w:pPr>
        <w:jc w:val="both"/>
        <w:rPr>
          <w:rFonts w:cstheme="minorHAnsi"/>
          <w:b/>
          <w:bCs/>
          <w:szCs w:val="22"/>
        </w:rPr>
      </w:pPr>
    </w:p>
    <w:sectPr w:rsidR="00D25682" w:rsidRPr="004558A4" w:rsidSect="00053B33">
      <w:headerReference w:type="default" r:id="rId7"/>
      <w:footerReference w:type="default" r:id="rId8"/>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0C8" w:rsidRDefault="00C050C8" w:rsidP="003E3D87">
      <w:pPr>
        <w:spacing w:after="0" w:line="240" w:lineRule="auto"/>
      </w:pPr>
      <w:r>
        <w:separator/>
      </w:r>
    </w:p>
  </w:endnote>
  <w:endnote w:type="continuationSeparator" w:id="0">
    <w:p w:rsidR="00C050C8" w:rsidRDefault="00C050C8" w:rsidP="003E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012917"/>
      <w:docPartObj>
        <w:docPartGallery w:val="Page Numbers (Bottom of Page)"/>
        <w:docPartUnique/>
      </w:docPartObj>
    </w:sdtPr>
    <w:sdtEndPr/>
    <w:sdtContent>
      <w:sdt>
        <w:sdtPr>
          <w:id w:val="1728636285"/>
          <w:docPartObj>
            <w:docPartGallery w:val="Page Numbers (Top of Page)"/>
            <w:docPartUnique/>
          </w:docPartObj>
        </w:sdtPr>
        <w:sdtEndPr/>
        <w:sdtContent>
          <w:p w:rsidR="007E73DE" w:rsidRDefault="007E73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16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166C">
              <w:rPr>
                <w:b/>
                <w:bCs/>
                <w:noProof/>
              </w:rPr>
              <w:t>6</w:t>
            </w:r>
            <w:r>
              <w:rPr>
                <w:b/>
                <w:bCs/>
                <w:sz w:val="24"/>
                <w:szCs w:val="24"/>
              </w:rPr>
              <w:fldChar w:fldCharType="end"/>
            </w:r>
          </w:p>
        </w:sdtContent>
      </w:sdt>
    </w:sdtContent>
  </w:sdt>
  <w:p w:rsidR="007E73DE" w:rsidRDefault="007E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0C8" w:rsidRDefault="00C050C8" w:rsidP="003E3D87">
      <w:pPr>
        <w:spacing w:after="0" w:line="240" w:lineRule="auto"/>
      </w:pPr>
      <w:r>
        <w:separator/>
      </w:r>
    </w:p>
  </w:footnote>
  <w:footnote w:type="continuationSeparator" w:id="0">
    <w:p w:rsidR="00C050C8" w:rsidRDefault="00C050C8" w:rsidP="003E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87" w:rsidRPr="007E73DE" w:rsidRDefault="0033278D" w:rsidP="003E3D87">
    <w:pPr>
      <w:spacing w:before="19" w:line="242" w:lineRule="auto"/>
      <w:ind w:left="20"/>
      <w:rPr>
        <w:rFonts w:ascii="Times New Roman" w:hAnsi="Times New Roman" w:cs="Times New Roman"/>
        <w:sz w:val="28"/>
        <w:szCs w:val="28"/>
      </w:rPr>
    </w:pPr>
    <w:r>
      <w:rPr>
        <w:rFonts w:ascii="Times New Roman" w:hAnsi="Times New Roman" w:cs="Times New Roman"/>
        <w:sz w:val="28"/>
        <w:szCs w:val="28"/>
      </w:rPr>
      <w:t>Clarification No.</w:t>
    </w:r>
    <w:proofErr w:type="gramStart"/>
    <w:r w:rsidR="005715CA">
      <w:rPr>
        <w:rFonts w:ascii="Times New Roman" w:hAnsi="Times New Roman" w:cs="Times New Roman"/>
        <w:sz w:val="28"/>
        <w:szCs w:val="28"/>
      </w:rPr>
      <w:t>2</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E3D87" w:rsidRPr="007E73DE">
      <w:rPr>
        <w:rFonts w:ascii="Times New Roman" w:hAnsi="Times New Roman" w:cs="Times New Roman"/>
        <w:sz w:val="28"/>
        <w:szCs w:val="28"/>
      </w:rPr>
      <w:t>Engagement</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of</w:t>
    </w:r>
    <w:r w:rsidR="003E3D87" w:rsidRPr="007E73DE">
      <w:rPr>
        <w:rFonts w:ascii="Times New Roman" w:hAnsi="Times New Roman" w:cs="Times New Roman"/>
        <w:spacing w:val="-1"/>
        <w:sz w:val="28"/>
        <w:szCs w:val="28"/>
      </w:rPr>
      <w:t xml:space="preserve"> </w:t>
    </w:r>
    <w:r w:rsidR="003E3D87" w:rsidRPr="007E73DE">
      <w:rPr>
        <w:rFonts w:ascii="Times New Roman" w:hAnsi="Times New Roman" w:cs="Times New Roman"/>
        <w:sz w:val="28"/>
        <w:szCs w:val="28"/>
      </w:rPr>
      <w:t>Consultant</w:t>
    </w:r>
    <w:r w:rsidR="003E3D87" w:rsidRPr="007E73DE">
      <w:rPr>
        <w:rFonts w:ascii="Times New Roman" w:hAnsi="Times New Roman" w:cs="Times New Roman"/>
        <w:spacing w:val="-2"/>
        <w:sz w:val="28"/>
        <w:szCs w:val="28"/>
      </w:rPr>
      <w:t xml:space="preserve"> </w:t>
    </w:r>
    <w:r w:rsidR="003E3D87" w:rsidRPr="007E73DE">
      <w:rPr>
        <w:rFonts w:ascii="Times New Roman" w:hAnsi="Times New Roman" w:cs="Times New Roman"/>
        <w:sz w:val="28"/>
        <w:szCs w:val="28"/>
      </w:rPr>
      <w:t>for</w:t>
    </w:r>
    <w:r w:rsidR="003E3D87" w:rsidRPr="007E73DE">
      <w:rPr>
        <w:rFonts w:ascii="Times New Roman" w:hAnsi="Times New Roman" w:cs="Times New Roman"/>
        <w:spacing w:val="-2"/>
        <w:sz w:val="28"/>
        <w:szCs w:val="28"/>
      </w:rPr>
      <w:t xml:space="preserve"> </w:t>
    </w:r>
    <w:r w:rsidR="003E3D87" w:rsidRPr="007E73DE">
      <w:rPr>
        <w:rFonts w:ascii="Times New Roman" w:hAnsi="Times New Roman" w:cs="Times New Roman"/>
        <w:sz w:val="28"/>
        <w:szCs w:val="28"/>
      </w:rPr>
      <w:t>preparation</w:t>
    </w:r>
    <w:r w:rsidR="003E3D87" w:rsidRPr="007E73DE">
      <w:rPr>
        <w:rFonts w:ascii="Times New Roman" w:hAnsi="Times New Roman" w:cs="Times New Roman"/>
        <w:spacing w:val="-2"/>
        <w:sz w:val="28"/>
        <w:szCs w:val="28"/>
      </w:rPr>
      <w:t xml:space="preserve"> </w:t>
    </w:r>
    <w:r w:rsidR="003E3D87" w:rsidRPr="007E73DE">
      <w:rPr>
        <w:rFonts w:ascii="Times New Roman" w:hAnsi="Times New Roman" w:cs="Times New Roman"/>
        <w:sz w:val="28"/>
        <w:szCs w:val="28"/>
      </w:rPr>
      <w:t>of</w:t>
    </w:r>
    <w:r w:rsidR="003E3D87" w:rsidRPr="007E73DE">
      <w:rPr>
        <w:rFonts w:ascii="Times New Roman" w:hAnsi="Times New Roman" w:cs="Times New Roman"/>
        <w:spacing w:val="-4"/>
        <w:sz w:val="28"/>
        <w:szCs w:val="28"/>
      </w:rPr>
      <w:t xml:space="preserve"> </w:t>
    </w:r>
    <w:r w:rsidR="003E3D87" w:rsidRPr="007E73DE">
      <w:rPr>
        <w:rFonts w:ascii="Times New Roman" w:hAnsi="Times New Roman" w:cs="Times New Roman"/>
        <w:sz w:val="28"/>
        <w:szCs w:val="28"/>
      </w:rPr>
      <w:t>Bid</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response</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of</w:t>
    </w:r>
    <w:r w:rsidR="003E3D87" w:rsidRPr="007E73DE">
      <w:rPr>
        <w:rFonts w:ascii="Times New Roman" w:hAnsi="Times New Roman" w:cs="Times New Roman"/>
        <w:spacing w:val="-1"/>
        <w:sz w:val="28"/>
        <w:szCs w:val="28"/>
      </w:rPr>
      <w:t xml:space="preserve"> </w:t>
    </w:r>
    <w:r w:rsidR="003E3D87" w:rsidRPr="007E73DE">
      <w:rPr>
        <w:rFonts w:ascii="Times New Roman" w:hAnsi="Times New Roman" w:cs="Times New Roman"/>
        <w:sz w:val="28"/>
        <w:szCs w:val="28"/>
      </w:rPr>
      <w:t>POWERGRID</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for</w:t>
    </w:r>
    <w:r w:rsidR="003E3D87" w:rsidRPr="007E73DE">
      <w:rPr>
        <w:rFonts w:ascii="Times New Roman" w:hAnsi="Times New Roman" w:cs="Times New Roman"/>
        <w:spacing w:val="-5"/>
        <w:sz w:val="28"/>
        <w:szCs w:val="28"/>
      </w:rPr>
      <w:t xml:space="preserve"> </w:t>
    </w:r>
    <w:r w:rsidR="003E3D87" w:rsidRPr="007E73DE">
      <w:rPr>
        <w:rFonts w:ascii="Times New Roman" w:hAnsi="Times New Roman" w:cs="Times New Roman"/>
        <w:sz w:val="28"/>
        <w:szCs w:val="28"/>
      </w:rPr>
      <w:t>500</w:t>
    </w:r>
    <w:r w:rsidR="003E3D87" w:rsidRPr="007E73DE">
      <w:rPr>
        <w:rFonts w:ascii="Times New Roman" w:hAnsi="Times New Roman" w:cs="Times New Roman"/>
        <w:spacing w:val="6"/>
        <w:sz w:val="28"/>
        <w:szCs w:val="28"/>
      </w:rPr>
      <w:t xml:space="preserve"> </w:t>
    </w:r>
    <w:r w:rsidR="003E3D87" w:rsidRPr="007E73DE">
      <w:rPr>
        <w:rFonts w:ascii="Times New Roman" w:hAnsi="Times New Roman" w:cs="Times New Roman"/>
        <w:sz w:val="28"/>
        <w:szCs w:val="28"/>
      </w:rPr>
      <w:t>MW</w:t>
    </w:r>
    <w:r w:rsidR="003E3D87" w:rsidRPr="007E73DE">
      <w:rPr>
        <w:rFonts w:ascii="Times New Roman" w:hAnsi="Times New Roman" w:cs="Times New Roman"/>
        <w:spacing w:val="-4"/>
        <w:sz w:val="28"/>
        <w:szCs w:val="28"/>
      </w:rPr>
      <w:t xml:space="preserve"> </w:t>
    </w:r>
    <w:r w:rsidR="003E3D87" w:rsidRPr="007E73DE">
      <w:rPr>
        <w:rFonts w:ascii="Times New Roman" w:hAnsi="Times New Roman" w:cs="Times New Roman"/>
        <w:sz w:val="28"/>
        <w:szCs w:val="28"/>
      </w:rPr>
      <w:t>/ 1000 MWh</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BESS</w:t>
    </w:r>
    <w:r w:rsidR="003E3D87" w:rsidRPr="007E73DE">
      <w:rPr>
        <w:rFonts w:ascii="Times New Roman" w:hAnsi="Times New Roman" w:cs="Times New Roman"/>
        <w:spacing w:val="-2"/>
        <w:sz w:val="28"/>
        <w:szCs w:val="28"/>
      </w:rPr>
      <w:t xml:space="preserve"> </w:t>
    </w:r>
    <w:r w:rsidR="003E3D87" w:rsidRPr="007E73DE">
      <w:rPr>
        <w:rFonts w:ascii="Times New Roman" w:hAnsi="Times New Roman" w:cs="Times New Roman"/>
        <w:sz w:val="28"/>
        <w:szCs w:val="28"/>
      </w:rPr>
      <w:t>project(s)</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floated</w:t>
    </w:r>
    <w:r w:rsidR="003E3D87" w:rsidRPr="007E73DE">
      <w:rPr>
        <w:rFonts w:ascii="Times New Roman" w:hAnsi="Times New Roman" w:cs="Times New Roman"/>
        <w:spacing w:val="-2"/>
        <w:sz w:val="28"/>
        <w:szCs w:val="28"/>
      </w:rPr>
      <w:t xml:space="preserve"> </w:t>
    </w:r>
    <w:r w:rsidR="003E3D87" w:rsidRPr="007E73DE">
      <w:rPr>
        <w:rFonts w:ascii="Times New Roman" w:hAnsi="Times New Roman" w:cs="Times New Roman"/>
        <w:sz w:val="28"/>
        <w:szCs w:val="28"/>
      </w:rPr>
      <w:t>under</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Global</w:t>
    </w:r>
    <w:r w:rsidR="003E3D87" w:rsidRPr="007E73DE">
      <w:rPr>
        <w:rFonts w:ascii="Times New Roman" w:hAnsi="Times New Roman" w:cs="Times New Roman"/>
        <w:spacing w:val="-67"/>
        <w:sz w:val="28"/>
        <w:szCs w:val="28"/>
      </w:rPr>
      <w:t xml:space="preserve"> </w:t>
    </w:r>
    <w:r w:rsidR="003E3D87" w:rsidRPr="007E73DE">
      <w:rPr>
        <w:rFonts w:ascii="Times New Roman" w:hAnsi="Times New Roman" w:cs="Times New Roman"/>
        <w:sz w:val="28"/>
        <w:szCs w:val="28"/>
      </w:rPr>
      <w:t>Competitive</w:t>
    </w:r>
    <w:r w:rsidR="003E3D87" w:rsidRPr="007E73DE">
      <w:rPr>
        <w:rFonts w:ascii="Times New Roman" w:hAnsi="Times New Roman" w:cs="Times New Roman"/>
        <w:spacing w:val="-3"/>
        <w:sz w:val="28"/>
        <w:szCs w:val="28"/>
      </w:rPr>
      <w:t xml:space="preserve"> </w:t>
    </w:r>
    <w:r w:rsidR="003E3D87" w:rsidRPr="007E73DE">
      <w:rPr>
        <w:rFonts w:ascii="Times New Roman" w:hAnsi="Times New Roman" w:cs="Times New Roman"/>
        <w:sz w:val="28"/>
        <w:szCs w:val="28"/>
      </w:rPr>
      <w:t>Bidding by</w:t>
    </w:r>
    <w:r w:rsidR="003E3D87" w:rsidRPr="007E73DE">
      <w:rPr>
        <w:rFonts w:ascii="Times New Roman" w:hAnsi="Times New Roman" w:cs="Times New Roman"/>
        <w:spacing w:val="1"/>
        <w:sz w:val="28"/>
        <w:szCs w:val="28"/>
      </w:rPr>
      <w:t xml:space="preserve"> </w:t>
    </w:r>
    <w:r w:rsidR="003E3D87" w:rsidRPr="007E73DE">
      <w:rPr>
        <w:rFonts w:ascii="Times New Roman" w:hAnsi="Times New Roman" w:cs="Times New Roman"/>
        <w:sz w:val="28"/>
        <w:szCs w:val="28"/>
      </w:rPr>
      <w:t>SECI_ Reply of the queries raised by Bidders</w:t>
    </w:r>
  </w:p>
  <w:p w:rsidR="003E3D87" w:rsidRDefault="003E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F6019"/>
    <w:multiLevelType w:val="hybridMultilevel"/>
    <w:tmpl w:val="B49EBFB8"/>
    <w:lvl w:ilvl="0" w:tplc="6FD6EED0">
      <w:numFmt w:val="bullet"/>
      <w:lvlText w:val=""/>
      <w:lvlJc w:val="left"/>
      <w:pPr>
        <w:ind w:left="467" w:hanging="361"/>
      </w:pPr>
      <w:rPr>
        <w:rFonts w:ascii="Symbol" w:eastAsia="Symbol" w:hAnsi="Symbol" w:cs="Symbol" w:hint="default"/>
        <w:w w:val="100"/>
        <w:sz w:val="18"/>
        <w:szCs w:val="18"/>
        <w:lang w:val="en-US" w:eastAsia="en-US" w:bidi="ar-SA"/>
      </w:rPr>
    </w:lvl>
    <w:lvl w:ilvl="1" w:tplc="507409E6">
      <w:numFmt w:val="bullet"/>
      <w:lvlText w:val="•"/>
      <w:lvlJc w:val="left"/>
      <w:pPr>
        <w:ind w:left="1099" w:hanging="361"/>
      </w:pPr>
      <w:rPr>
        <w:rFonts w:hint="default"/>
        <w:lang w:val="en-US" w:eastAsia="en-US" w:bidi="ar-SA"/>
      </w:rPr>
    </w:lvl>
    <w:lvl w:ilvl="2" w:tplc="09E264A0">
      <w:numFmt w:val="bullet"/>
      <w:lvlText w:val="•"/>
      <w:lvlJc w:val="left"/>
      <w:pPr>
        <w:ind w:left="1739" w:hanging="361"/>
      </w:pPr>
      <w:rPr>
        <w:rFonts w:hint="default"/>
        <w:lang w:val="en-US" w:eastAsia="en-US" w:bidi="ar-SA"/>
      </w:rPr>
    </w:lvl>
    <w:lvl w:ilvl="3" w:tplc="B2027400">
      <w:numFmt w:val="bullet"/>
      <w:lvlText w:val="•"/>
      <w:lvlJc w:val="left"/>
      <w:pPr>
        <w:ind w:left="2379" w:hanging="361"/>
      </w:pPr>
      <w:rPr>
        <w:rFonts w:hint="default"/>
        <w:lang w:val="en-US" w:eastAsia="en-US" w:bidi="ar-SA"/>
      </w:rPr>
    </w:lvl>
    <w:lvl w:ilvl="4" w:tplc="AAF89372">
      <w:numFmt w:val="bullet"/>
      <w:lvlText w:val="•"/>
      <w:lvlJc w:val="left"/>
      <w:pPr>
        <w:ind w:left="3019" w:hanging="361"/>
      </w:pPr>
      <w:rPr>
        <w:rFonts w:hint="default"/>
        <w:lang w:val="en-US" w:eastAsia="en-US" w:bidi="ar-SA"/>
      </w:rPr>
    </w:lvl>
    <w:lvl w:ilvl="5" w:tplc="1EE4655E">
      <w:numFmt w:val="bullet"/>
      <w:lvlText w:val="•"/>
      <w:lvlJc w:val="left"/>
      <w:pPr>
        <w:ind w:left="3659" w:hanging="361"/>
      </w:pPr>
      <w:rPr>
        <w:rFonts w:hint="default"/>
        <w:lang w:val="en-US" w:eastAsia="en-US" w:bidi="ar-SA"/>
      </w:rPr>
    </w:lvl>
    <w:lvl w:ilvl="6" w:tplc="3A52CC4A">
      <w:numFmt w:val="bullet"/>
      <w:lvlText w:val="•"/>
      <w:lvlJc w:val="left"/>
      <w:pPr>
        <w:ind w:left="4298" w:hanging="361"/>
      </w:pPr>
      <w:rPr>
        <w:rFonts w:hint="default"/>
        <w:lang w:val="en-US" w:eastAsia="en-US" w:bidi="ar-SA"/>
      </w:rPr>
    </w:lvl>
    <w:lvl w:ilvl="7" w:tplc="A7CA7D8E">
      <w:numFmt w:val="bullet"/>
      <w:lvlText w:val="•"/>
      <w:lvlJc w:val="left"/>
      <w:pPr>
        <w:ind w:left="4938" w:hanging="361"/>
      </w:pPr>
      <w:rPr>
        <w:rFonts w:hint="default"/>
        <w:lang w:val="en-US" w:eastAsia="en-US" w:bidi="ar-SA"/>
      </w:rPr>
    </w:lvl>
    <w:lvl w:ilvl="8" w:tplc="2070CC80">
      <w:numFmt w:val="bullet"/>
      <w:lvlText w:val="•"/>
      <w:lvlJc w:val="left"/>
      <w:pPr>
        <w:ind w:left="5578" w:hanging="361"/>
      </w:pPr>
      <w:rPr>
        <w:rFonts w:hint="default"/>
        <w:lang w:val="en-US" w:eastAsia="en-US" w:bidi="ar-SA"/>
      </w:rPr>
    </w:lvl>
  </w:abstractNum>
  <w:abstractNum w:abstractNumId="1" w15:restartNumberingAfterBreak="0">
    <w:nsid w:val="1E6D66D7"/>
    <w:multiLevelType w:val="hybridMultilevel"/>
    <w:tmpl w:val="37CE5A4A"/>
    <w:lvl w:ilvl="0" w:tplc="2AD8EFC8">
      <w:numFmt w:val="bullet"/>
      <w:lvlText w:val=""/>
      <w:lvlJc w:val="left"/>
      <w:pPr>
        <w:ind w:left="467" w:hanging="360"/>
      </w:pPr>
      <w:rPr>
        <w:rFonts w:ascii="Symbol" w:eastAsia="Symbol" w:hAnsi="Symbol" w:cs="Symbol" w:hint="default"/>
        <w:w w:val="100"/>
        <w:sz w:val="18"/>
        <w:szCs w:val="18"/>
        <w:lang w:val="en-US" w:eastAsia="en-US" w:bidi="ar-SA"/>
      </w:rPr>
    </w:lvl>
    <w:lvl w:ilvl="1" w:tplc="960A92E0">
      <w:numFmt w:val="bullet"/>
      <w:lvlText w:val="•"/>
      <w:lvlJc w:val="left"/>
      <w:pPr>
        <w:ind w:left="895" w:hanging="360"/>
      </w:pPr>
      <w:rPr>
        <w:rFonts w:hint="default"/>
        <w:lang w:val="en-US" w:eastAsia="en-US" w:bidi="ar-SA"/>
      </w:rPr>
    </w:lvl>
    <w:lvl w:ilvl="2" w:tplc="41360B94">
      <w:numFmt w:val="bullet"/>
      <w:lvlText w:val="•"/>
      <w:lvlJc w:val="left"/>
      <w:pPr>
        <w:ind w:left="1330" w:hanging="360"/>
      </w:pPr>
      <w:rPr>
        <w:rFonts w:hint="default"/>
        <w:lang w:val="en-US" w:eastAsia="en-US" w:bidi="ar-SA"/>
      </w:rPr>
    </w:lvl>
    <w:lvl w:ilvl="3" w:tplc="A148C406">
      <w:numFmt w:val="bullet"/>
      <w:lvlText w:val="•"/>
      <w:lvlJc w:val="left"/>
      <w:pPr>
        <w:ind w:left="1765" w:hanging="360"/>
      </w:pPr>
      <w:rPr>
        <w:rFonts w:hint="default"/>
        <w:lang w:val="en-US" w:eastAsia="en-US" w:bidi="ar-SA"/>
      </w:rPr>
    </w:lvl>
    <w:lvl w:ilvl="4" w:tplc="96CEDCA4">
      <w:numFmt w:val="bullet"/>
      <w:lvlText w:val="•"/>
      <w:lvlJc w:val="left"/>
      <w:pPr>
        <w:ind w:left="2200" w:hanging="360"/>
      </w:pPr>
      <w:rPr>
        <w:rFonts w:hint="default"/>
        <w:lang w:val="en-US" w:eastAsia="en-US" w:bidi="ar-SA"/>
      </w:rPr>
    </w:lvl>
    <w:lvl w:ilvl="5" w:tplc="03F06F72">
      <w:numFmt w:val="bullet"/>
      <w:lvlText w:val="•"/>
      <w:lvlJc w:val="left"/>
      <w:pPr>
        <w:ind w:left="2635" w:hanging="360"/>
      </w:pPr>
      <w:rPr>
        <w:rFonts w:hint="default"/>
        <w:lang w:val="en-US" w:eastAsia="en-US" w:bidi="ar-SA"/>
      </w:rPr>
    </w:lvl>
    <w:lvl w:ilvl="6" w:tplc="D5E432A0">
      <w:numFmt w:val="bullet"/>
      <w:lvlText w:val="•"/>
      <w:lvlJc w:val="left"/>
      <w:pPr>
        <w:ind w:left="3070" w:hanging="360"/>
      </w:pPr>
      <w:rPr>
        <w:rFonts w:hint="default"/>
        <w:lang w:val="en-US" w:eastAsia="en-US" w:bidi="ar-SA"/>
      </w:rPr>
    </w:lvl>
    <w:lvl w:ilvl="7" w:tplc="7BCE23D4">
      <w:numFmt w:val="bullet"/>
      <w:lvlText w:val="•"/>
      <w:lvlJc w:val="left"/>
      <w:pPr>
        <w:ind w:left="3505" w:hanging="360"/>
      </w:pPr>
      <w:rPr>
        <w:rFonts w:hint="default"/>
        <w:lang w:val="en-US" w:eastAsia="en-US" w:bidi="ar-SA"/>
      </w:rPr>
    </w:lvl>
    <w:lvl w:ilvl="8" w:tplc="08A4D246">
      <w:numFmt w:val="bullet"/>
      <w:lvlText w:val="•"/>
      <w:lvlJc w:val="left"/>
      <w:pPr>
        <w:ind w:left="394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57"/>
    <w:rsid w:val="0004018B"/>
    <w:rsid w:val="00053B33"/>
    <w:rsid w:val="000A3337"/>
    <w:rsid w:val="0033278D"/>
    <w:rsid w:val="00397197"/>
    <w:rsid w:val="003E3D87"/>
    <w:rsid w:val="004233AB"/>
    <w:rsid w:val="004558A4"/>
    <w:rsid w:val="005715CA"/>
    <w:rsid w:val="00594D5C"/>
    <w:rsid w:val="006D7698"/>
    <w:rsid w:val="006E4463"/>
    <w:rsid w:val="006F06E6"/>
    <w:rsid w:val="007E73DE"/>
    <w:rsid w:val="008817CA"/>
    <w:rsid w:val="00B258AD"/>
    <w:rsid w:val="00BD7187"/>
    <w:rsid w:val="00C050C8"/>
    <w:rsid w:val="00C41DAF"/>
    <w:rsid w:val="00C94FC0"/>
    <w:rsid w:val="00CB2AE9"/>
    <w:rsid w:val="00D25682"/>
    <w:rsid w:val="00DA7BBC"/>
    <w:rsid w:val="00DE166C"/>
    <w:rsid w:val="00E0663A"/>
    <w:rsid w:val="00EB1757"/>
    <w:rsid w:val="00F05224"/>
    <w:rsid w:val="00FB3D0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B23B31E-FCE8-4C44-9B24-01FCDCAC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B1757"/>
    <w:pPr>
      <w:widowControl w:val="0"/>
      <w:autoSpaceDE w:val="0"/>
      <w:autoSpaceDN w:val="0"/>
      <w:spacing w:after="0" w:line="240" w:lineRule="auto"/>
      <w:ind w:left="105"/>
    </w:pPr>
    <w:rPr>
      <w:rFonts w:ascii="Georgia" w:eastAsia="Georgia" w:hAnsi="Georgia" w:cs="Georgia"/>
      <w:szCs w:val="22"/>
      <w:lang w:bidi="ar-SA"/>
    </w:rPr>
  </w:style>
  <w:style w:type="paragraph" w:styleId="BodyText">
    <w:name w:val="Body Text"/>
    <w:basedOn w:val="Normal"/>
    <w:link w:val="BodyTextChar"/>
    <w:uiPriority w:val="1"/>
    <w:qFormat/>
    <w:rsid w:val="00EB1757"/>
    <w:pPr>
      <w:widowControl w:val="0"/>
      <w:autoSpaceDE w:val="0"/>
      <w:autoSpaceDN w:val="0"/>
      <w:spacing w:after="0" w:line="240" w:lineRule="auto"/>
    </w:pPr>
    <w:rPr>
      <w:rFonts w:ascii="Verdana" w:eastAsia="Verdana" w:hAnsi="Verdana" w:cs="Verdana"/>
      <w:sz w:val="18"/>
      <w:szCs w:val="18"/>
      <w:lang w:bidi="ar-SA"/>
    </w:rPr>
  </w:style>
  <w:style w:type="character" w:customStyle="1" w:styleId="BodyTextChar">
    <w:name w:val="Body Text Char"/>
    <w:basedOn w:val="DefaultParagraphFont"/>
    <w:link w:val="BodyText"/>
    <w:uiPriority w:val="1"/>
    <w:rsid w:val="00EB1757"/>
    <w:rPr>
      <w:rFonts w:ascii="Verdana" w:eastAsia="Verdana" w:hAnsi="Verdana" w:cs="Verdana"/>
      <w:sz w:val="18"/>
      <w:szCs w:val="18"/>
      <w:lang w:bidi="ar-SA"/>
    </w:rPr>
  </w:style>
  <w:style w:type="paragraph" w:styleId="ListParagraph">
    <w:name w:val="List Paragraph"/>
    <w:basedOn w:val="Normal"/>
    <w:uiPriority w:val="34"/>
    <w:qFormat/>
    <w:rsid w:val="00EB1757"/>
    <w:pPr>
      <w:ind w:left="720"/>
      <w:contextualSpacing/>
    </w:pPr>
  </w:style>
  <w:style w:type="paragraph" w:styleId="Header">
    <w:name w:val="header"/>
    <w:basedOn w:val="Normal"/>
    <w:link w:val="HeaderChar"/>
    <w:uiPriority w:val="99"/>
    <w:unhideWhenUsed/>
    <w:rsid w:val="003E3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D87"/>
    <w:rPr>
      <w:rFonts w:cs="Mangal"/>
    </w:rPr>
  </w:style>
  <w:style w:type="paragraph" w:styleId="Footer">
    <w:name w:val="footer"/>
    <w:basedOn w:val="Normal"/>
    <w:link w:val="FooterChar"/>
    <w:uiPriority w:val="99"/>
    <w:unhideWhenUsed/>
    <w:rsid w:val="003E3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D87"/>
    <w:rPr>
      <w:rFonts w:cs="Mangal"/>
    </w:rPr>
  </w:style>
  <w:style w:type="paragraph" w:styleId="BalloonText">
    <w:name w:val="Balloon Text"/>
    <w:basedOn w:val="Normal"/>
    <w:link w:val="BalloonTextChar"/>
    <w:uiPriority w:val="99"/>
    <w:semiHidden/>
    <w:unhideWhenUsed/>
    <w:rsid w:val="0004018B"/>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04018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9126">
      <w:bodyDiv w:val="1"/>
      <w:marLeft w:val="0"/>
      <w:marRight w:val="0"/>
      <w:marTop w:val="0"/>
      <w:marBottom w:val="0"/>
      <w:divBdr>
        <w:top w:val="none" w:sz="0" w:space="0" w:color="auto"/>
        <w:left w:val="none" w:sz="0" w:space="0" w:color="auto"/>
        <w:bottom w:val="none" w:sz="0" w:space="0" w:color="auto"/>
        <w:right w:val="none" w:sz="0" w:space="0" w:color="auto"/>
      </w:divBdr>
    </w:div>
    <w:div w:id="1384403251">
      <w:bodyDiv w:val="1"/>
      <w:marLeft w:val="0"/>
      <w:marRight w:val="0"/>
      <w:marTop w:val="0"/>
      <w:marBottom w:val="0"/>
      <w:divBdr>
        <w:top w:val="none" w:sz="0" w:space="0" w:color="auto"/>
        <w:left w:val="none" w:sz="0" w:space="0" w:color="auto"/>
        <w:bottom w:val="none" w:sz="0" w:space="0" w:color="auto"/>
        <w:right w:val="none" w:sz="0" w:space="0" w:color="auto"/>
      </w:divBdr>
    </w:div>
    <w:div w:id="14142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TBCB -2</dc:creator>
  <cp:keywords/>
  <dc:description/>
  <cp:lastModifiedBy>Himanshu Mittal {Himanshu Mittal}</cp:lastModifiedBy>
  <cp:revision>12</cp:revision>
  <cp:lastPrinted>2021-12-07T05:12:00Z</cp:lastPrinted>
  <dcterms:created xsi:type="dcterms:W3CDTF">2021-12-07T06:34:00Z</dcterms:created>
  <dcterms:modified xsi:type="dcterms:W3CDTF">2022-01-03T10:40:00Z</dcterms:modified>
</cp:coreProperties>
</file>