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A63E634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3379C9">
        <w:rPr>
          <w:rFonts w:ascii="Book Antiqua" w:hAnsi="Book Antiqua" w:cs="Arial"/>
          <w:sz w:val="20"/>
        </w:rPr>
        <w:t>9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553A0">
        <w:rPr>
          <w:rFonts w:ascii="Book Antiqua" w:hAnsi="Book Antiqua" w:cs="Arial"/>
          <w:sz w:val="20"/>
        </w:rPr>
        <w:t>0</w:t>
      </w:r>
      <w:r w:rsidR="003379C9">
        <w:rPr>
          <w:rFonts w:ascii="Book Antiqua" w:hAnsi="Book Antiqua" w:cs="Arial"/>
          <w:sz w:val="20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F15" w14:textId="77777777" w:rsidR="00301DB1" w:rsidRDefault="00301DB1" w:rsidP="00301DB1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C17236F" w14:textId="77777777" w:rsidR="00301DB1" w:rsidRDefault="00301DB1" w:rsidP="00301DB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7EB74E6F" w14:textId="77777777" w:rsidR="00301DB1" w:rsidRPr="0038106B" w:rsidRDefault="00301DB1" w:rsidP="00301DB1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948F4DB" w14:textId="77777777" w:rsidR="00301DB1" w:rsidRPr="0038106B" w:rsidRDefault="00301DB1" w:rsidP="00301DB1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EE64B33" w14:textId="77777777" w:rsidR="00301DB1" w:rsidRPr="0038106B" w:rsidRDefault="00301DB1" w:rsidP="00301DB1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3DFD4F8" w14:textId="77777777" w:rsidR="00301DB1" w:rsidRDefault="00301DB1" w:rsidP="00301DB1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CFA0814" w14:textId="77777777" w:rsidR="00301DB1" w:rsidRPr="0038106B" w:rsidRDefault="00301DB1" w:rsidP="00301DB1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F14ED3D" w14:textId="77777777" w:rsidR="00301DB1" w:rsidRPr="0038106B" w:rsidRDefault="00301DB1" w:rsidP="00301DB1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68476CEE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301DB1">
              <w:rPr>
                <w:rFonts w:ascii="Book Antiqua" w:hAnsi="Book Antiqua" w:cs="Arial"/>
                <w:b/>
                <w:bCs/>
                <w:sz w:val="20"/>
                <w:szCs w:val="20"/>
              </w:rPr>
              <w:t>14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52E7628B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301DB1">
              <w:rPr>
                <w:rFonts w:ascii="Book Antiqua" w:hAnsi="Book Antiqua" w:cs="Arial"/>
                <w:b/>
                <w:bCs/>
                <w:sz w:val="20"/>
                <w:szCs w:val="20"/>
              </w:rPr>
              <w:t>16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301DB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01DB1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01DB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301DB1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iOumCAw0YCq6oJBs/f45hy2/Fvfq7J9YFsz4JxINIjo=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Qc8i+j1jjBOn60XCRn31zpQDN5hIvrRKw7VEfYPwVcE=</DigestValue>
    </Reference>
    <Reference Type="http://www.w3.org/2000/09/xmldsig#Object" URI="#idValidSigLnImg">
      <DigestMethod Algorithm="http://www.w3.org/2001/04/xmlenc#sha256"/>
      <DigestValue>yskqtF7lqsWnUGyZW42fxROF3Aj7oRjHWpSIYZ8Oc9o=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OASPpNMpyIxVik75Lz88cGQoH3ElzuwNSUzlmHu6doBr/C7DJ+MdW/cjQJ/Fb79zWAIIzyTptS7W
GICHPo1Fzz3YfxwWrdZzTGkM7Z9JJ/fRcHb+XJtFh/rFFbBXQvWqkcMlnJI7e3oeoPg5TuuDHA+Q
uYPRHGwhBmKpYmFcj8+MVyXIcBOpmebsvYQCJ+BHY9iMrwtJwddLDrpO7BpORMQgabBGBgayz5Sv
j0R9TjuLnfg+Picv1pqteD14+nOYHXqD0A4m+302oUqoGPWc4CiABKyFe6RcTxDm39i+0uZhwPtz
szNxp+gok064RHrE8BUBepWcHQ1d+wnfvNAntw==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bB7c+xRSVMMmKhEZy9VesnQwQUsG5E6xGb79/P8NVRs=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/TufkTEiDlCwIeZ3dnvFMfyqucRft0Ney2gUsZXeXhY=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y0KnL6V95roJeICM9X/zlp6gZgLdGI9JyDnylRKyOw0=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oswFV0/spqC8cGnZBEMoENhGY/xsKqdbz1XPA1Trf9I=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sfduCvXJEFKZMSUf8JAoMdYYXQoAEvlbPTEyfMyNzjw=</DigestValue>
      </Reference>
      <Reference URI="/word/settings.xml?ContentType=application/vnd.openxmlformats-officedocument.wordprocessingml.settings+xml">
        <DigestMethod Algorithm="http://www.w3.org/2001/04/xmlenc#sha256"/>
        <DigestValue>lF4PutvG8Uc03+gGtiHhjjAD0U5My/1+3A7BvmRMwpI=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2025-01-09T11:45:35Z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2025-01-09T11:45:35Z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</cp:lastModifiedBy>
  <cp:revision>1126</cp:revision>
  <cp:lastPrinted>2020-04-01T13:28:00Z</cp:lastPrinted>
  <dcterms:created xsi:type="dcterms:W3CDTF">2014-06-12T12:28:00Z</dcterms:created>
  <dcterms:modified xsi:type="dcterms:W3CDTF">2025-01-09T11:44:00Z</dcterms:modified>
</cp:coreProperties>
</file>