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CF796" w14:textId="77777777" w:rsidR="00767BA4" w:rsidRPr="006506FB" w:rsidRDefault="00767BA4" w:rsidP="00767BA4">
      <w:pPr>
        <w:tabs>
          <w:tab w:val="left" w:pos="1037"/>
        </w:tabs>
        <w:jc w:val="center"/>
        <w:rPr>
          <w:rFonts w:ascii="Book Antiqua" w:hAnsi="Book Antiqua"/>
          <w:b/>
        </w:rPr>
      </w:pPr>
      <w:r>
        <w:rPr>
          <w:rFonts w:ascii="Book Antiqua" w:hAnsi="Book Antiqua"/>
          <w:b/>
        </w:rPr>
        <w:t xml:space="preserve">Amendment to Biding Documents </w:t>
      </w:r>
    </w:p>
    <w:p w14:paraId="57D2EF30" w14:textId="77777777" w:rsidR="00767BA4" w:rsidRDefault="00767BA4" w:rsidP="00767BA4">
      <w:pPr>
        <w:jc w:val="center"/>
        <w:rPr>
          <w:rFonts w:ascii="Book Antiqua" w:hAnsi="Book Antiqua"/>
          <w:b/>
        </w:rPr>
      </w:pPr>
    </w:p>
    <w:tbl>
      <w:tblPr>
        <w:tblW w:w="149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842"/>
        <w:gridCol w:w="1560"/>
        <w:gridCol w:w="10695"/>
      </w:tblGrid>
      <w:tr w:rsidR="00767BA4" w:rsidRPr="00E361A3" w14:paraId="586B73D5" w14:textId="77777777" w:rsidTr="00767BA4">
        <w:tc>
          <w:tcPr>
            <w:tcW w:w="852" w:type="dxa"/>
            <w:tcBorders>
              <w:right w:val="single" w:sz="4" w:space="0" w:color="auto"/>
            </w:tcBorders>
          </w:tcPr>
          <w:p w14:paraId="522ED908" w14:textId="77777777" w:rsidR="00767BA4" w:rsidRPr="00767BA4" w:rsidRDefault="00767BA4" w:rsidP="00767BA4">
            <w:pPr>
              <w:pStyle w:val="Default"/>
              <w:rPr>
                <w:rFonts w:ascii="Times New Roman" w:hAnsi="Times New Roman" w:cs="Times New Roman"/>
              </w:rPr>
            </w:pPr>
            <w:r w:rsidRPr="00767BA4">
              <w:rPr>
                <w:rFonts w:ascii="Times New Roman" w:hAnsi="Times New Roman" w:cs="Times New Roman"/>
              </w:rPr>
              <w:t>S. No.</w:t>
            </w:r>
          </w:p>
        </w:tc>
        <w:tc>
          <w:tcPr>
            <w:tcW w:w="1842" w:type="dxa"/>
            <w:tcBorders>
              <w:right w:val="single" w:sz="4" w:space="0" w:color="auto"/>
            </w:tcBorders>
          </w:tcPr>
          <w:p w14:paraId="6A48E484" w14:textId="77777777" w:rsidR="00767BA4" w:rsidRPr="00767BA4" w:rsidRDefault="00767BA4" w:rsidP="00767BA4">
            <w:pPr>
              <w:pStyle w:val="Default"/>
              <w:rPr>
                <w:rFonts w:ascii="Times New Roman" w:hAnsi="Times New Roman" w:cs="Times New Roman"/>
                <w:sz w:val="28"/>
                <w:szCs w:val="28"/>
              </w:rPr>
            </w:pPr>
            <w:r w:rsidRPr="00767BA4">
              <w:rPr>
                <w:rFonts w:ascii="Times New Roman" w:hAnsi="Times New Roman" w:cs="Times New Roman"/>
                <w:sz w:val="28"/>
                <w:szCs w:val="28"/>
              </w:rPr>
              <w:t>Clause Reference</w:t>
            </w:r>
          </w:p>
        </w:tc>
        <w:tc>
          <w:tcPr>
            <w:tcW w:w="1560" w:type="dxa"/>
            <w:tcBorders>
              <w:right w:val="single" w:sz="4" w:space="0" w:color="auto"/>
            </w:tcBorders>
          </w:tcPr>
          <w:p w14:paraId="09738947" w14:textId="77777777" w:rsidR="00767BA4" w:rsidRPr="00767BA4" w:rsidRDefault="00767BA4" w:rsidP="00767BA4">
            <w:pPr>
              <w:pStyle w:val="Default"/>
              <w:rPr>
                <w:rFonts w:ascii="Times New Roman" w:hAnsi="Times New Roman" w:cs="Times New Roman"/>
                <w:sz w:val="28"/>
                <w:szCs w:val="28"/>
              </w:rPr>
            </w:pPr>
            <w:r w:rsidRPr="00767BA4">
              <w:rPr>
                <w:rFonts w:ascii="Times New Roman" w:hAnsi="Times New Roman" w:cs="Times New Roman"/>
                <w:sz w:val="28"/>
                <w:szCs w:val="28"/>
              </w:rPr>
              <w:t>Existing Provisions</w:t>
            </w:r>
          </w:p>
        </w:tc>
        <w:tc>
          <w:tcPr>
            <w:tcW w:w="10695" w:type="dxa"/>
            <w:tcBorders>
              <w:left w:val="single" w:sz="4" w:space="0" w:color="auto"/>
            </w:tcBorders>
          </w:tcPr>
          <w:p w14:paraId="30661CCB" w14:textId="77777777" w:rsidR="00767BA4" w:rsidRPr="009E0BCC" w:rsidRDefault="00767BA4" w:rsidP="00767BA4">
            <w:pPr>
              <w:pStyle w:val="Default"/>
              <w:jc w:val="center"/>
              <w:rPr>
                <w:rFonts w:ascii="Times New Roman" w:hAnsi="Times New Roman" w:cs="Times New Roman"/>
                <w:sz w:val="28"/>
                <w:szCs w:val="28"/>
              </w:rPr>
            </w:pPr>
            <w:r>
              <w:rPr>
                <w:rFonts w:ascii="Times New Roman" w:hAnsi="Times New Roman" w:cs="Times New Roman"/>
                <w:sz w:val="28"/>
                <w:szCs w:val="28"/>
              </w:rPr>
              <w:t>Amendment Provisions</w:t>
            </w:r>
          </w:p>
        </w:tc>
      </w:tr>
      <w:tr w:rsidR="00767BA4" w:rsidRPr="00E361A3" w14:paraId="51FEB68E" w14:textId="77777777" w:rsidTr="00767BA4">
        <w:tc>
          <w:tcPr>
            <w:tcW w:w="852" w:type="dxa"/>
            <w:tcBorders>
              <w:right w:val="single" w:sz="4" w:space="0" w:color="auto"/>
            </w:tcBorders>
          </w:tcPr>
          <w:p w14:paraId="2D479549" w14:textId="77777777" w:rsidR="00767BA4" w:rsidRPr="00E361A3" w:rsidRDefault="00767BA4" w:rsidP="00767BA4">
            <w:pPr>
              <w:numPr>
                <w:ilvl w:val="0"/>
                <w:numId w:val="1"/>
              </w:numPr>
              <w:ind w:left="0" w:hanging="18"/>
              <w:jc w:val="center"/>
              <w:rPr>
                <w:rFonts w:ascii="Arial" w:hAnsi="Arial" w:cs="Arial"/>
              </w:rPr>
            </w:pPr>
          </w:p>
        </w:tc>
        <w:tc>
          <w:tcPr>
            <w:tcW w:w="1842" w:type="dxa"/>
            <w:tcBorders>
              <w:right w:val="single" w:sz="4" w:space="0" w:color="auto"/>
            </w:tcBorders>
          </w:tcPr>
          <w:p w14:paraId="2E36E25E" w14:textId="77777777" w:rsidR="00767BA4" w:rsidRPr="00E361A3" w:rsidRDefault="00767BA4" w:rsidP="00767BA4">
            <w:pPr>
              <w:rPr>
                <w:rFonts w:ascii="Arial" w:hAnsi="Arial" w:cs="Arial"/>
              </w:rPr>
            </w:pPr>
            <w:r>
              <w:rPr>
                <w:rFonts w:ascii="Arial" w:hAnsi="Arial" w:cs="Arial"/>
                <w:sz w:val="22"/>
                <w:szCs w:val="22"/>
              </w:rPr>
              <w:t>ITB 9 (I)</w:t>
            </w:r>
          </w:p>
        </w:tc>
        <w:tc>
          <w:tcPr>
            <w:tcW w:w="1560" w:type="dxa"/>
            <w:tcBorders>
              <w:right w:val="single" w:sz="4" w:space="0" w:color="auto"/>
            </w:tcBorders>
          </w:tcPr>
          <w:p w14:paraId="0A97099E" w14:textId="77777777" w:rsidR="00767BA4" w:rsidRDefault="00767BA4" w:rsidP="00767BA4">
            <w:pPr>
              <w:rPr>
                <w:rFonts w:ascii="Arial" w:hAnsi="Arial" w:cs="Arial"/>
                <w:sz w:val="22"/>
                <w:szCs w:val="22"/>
              </w:rPr>
            </w:pPr>
          </w:p>
        </w:tc>
        <w:tc>
          <w:tcPr>
            <w:tcW w:w="10695" w:type="dxa"/>
            <w:tcBorders>
              <w:left w:val="single" w:sz="4" w:space="0" w:color="auto"/>
            </w:tcBorders>
          </w:tcPr>
          <w:p w14:paraId="5F58A13A" w14:textId="77777777" w:rsidR="00767BA4" w:rsidRPr="009E0BCC" w:rsidRDefault="00767BA4" w:rsidP="00767BA4">
            <w:pPr>
              <w:pStyle w:val="Default"/>
              <w:jc w:val="both"/>
              <w:rPr>
                <w:rFonts w:ascii="Times New Roman" w:hAnsi="Times New Roman" w:cs="Times New Roman"/>
                <w:sz w:val="28"/>
                <w:szCs w:val="28"/>
              </w:rPr>
            </w:pPr>
            <w:r w:rsidRPr="009E0BCC">
              <w:rPr>
                <w:rFonts w:ascii="Times New Roman" w:hAnsi="Times New Roman" w:cs="Times New Roman"/>
                <w:sz w:val="28"/>
                <w:szCs w:val="28"/>
              </w:rPr>
              <w:t>Supplementing ITB 9(I) as follows:</w:t>
            </w:r>
            <w:r w:rsidRPr="009E0BCC">
              <w:rPr>
                <w:rFonts w:ascii="Times New Roman" w:hAnsi="Times New Roman" w:cs="Times New Roman"/>
                <w:sz w:val="28"/>
                <w:szCs w:val="28"/>
              </w:rPr>
              <w:br/>
            </w:r>
            <w:r w:rsidRPr="009E0BCC">
              <w:rPr>
                <w:rFonts w:ascii="Times New Roman" w:hAnsi="Times New Roman" w:cs="Times New Roman"/>
                <w:sz w:val="28"/>
                <w:szCs w:val="28"/>
              </w:rPr>
              <w:br/>
              <w:t>Due to prevailing situation in account of COVID-19, the bid shall be submitted by the bidder in following manner:</w:t>
            </w:r>
          </w:p>
          <w:p w14:paraId="662E1C10" w14:textId="77777777" w:rsidR="00767BA4" w:rsidRPr="009E0BCC" w:rsidRDefault="00767BA4" w:rsidP="00767BA4">
            <w:pPr>
              <w:pStyle w:val="Default"/>
              <w:jc w:val="both"/>
              <w:rPr>
                <w:rFonts w:ascii="Times New Roman" w:hAnsi="Times New Roman" w:cs="Times New Roman"/>
                <w:sz w:val="28"/>
                <w:szCs w:val="28"/>
              </w:rPr>
            </w:pPr>
          </w:p>
          <w:p w14:paraId="11F78488" w14:textId="77777777" w:rsidR="00767BA4" w:rsidRPr="009E0BCC" w:rsidRDefault="00767BA4" w:rsidP="00767BA4">
            <w:pPr>
              <w:pStyle w:val="Default"/>
              <w:jc w:val="both"/>
              <w:rPr>
                <w:rFonts w:ascii="Times New Roman" w:hAnsi="Times New Roman" w:cs="Times New Roman"/>
                <w:sz w:val="28"/>
                <w:szCs w:val="28"/>
                <w:u w:val="single"/>
              </w:rPr>
            </w:pPr>
            <w:r w:rsidRPr="009E0BCC">
              <w:rPr>
                <w:rFonts w:ascii="Times New Roman" w:hAnsi="Times New Roman" w:cs="Times New Roman"/>
                <w:sz w:val="28"/>
                <w:szCs w:val="28"/>
              </w:rPr>
              <w:t>Bidder(s) shall submit Tender Fee only through POWERGRID ONLINE PAYMENT UTILITY-</w:t>
            </w:r>
            <w:r w:rsidRPr="009E0BCC">
              <w:rPr>
                <w:rFonts w:ascii="Times New Roman" w:hAnsi="Times New Roman" w:cs="Times New Roman"/>
                <w:sz w:val="28"/>
                <w:szCs w:val="28"/>
                <w:u w:val="single"/>
              </w:rPr>
              <w:t>https://epay.powergrid.in</w:t>
            </w:r>
          </w:p>
          <w:p w14:paraId="5FA40C67" w14:textId="77777777" w:rsidR="00767BA4" w:rsidRPr="009E0BCC" w:rsidRDefault="00767BA4" w:rsidP="00767BA4">
            <w:pPr>
              <w:pStyle w:val="Default"/>
              <w:jc w:val="both"/>
              <w:rPr>
                <w:rFonts w:ascii="Times New Roman" w:hAnsi="Times New Roman" w:cs="Times New Roman"/>
                <w:sz w:val="28"/>
                <w:szCs w:val="28"/>
                <w:u w:val="single"/>
              </w:rPr>
            </w:pPr>
          </w:p>
          <w:p w14:paraId="337CB1B2" w14:textId="77777777" w:rsidR="00767BA4" w:rsidRPr="009E0BCC" w:rsidRDefault="00767BA4" w:rsidP="00767BA4">
            <w:pPr>
              <w:pStyle w:val="Default"/>
              <w:jc w:val="both"/>
              <w:rPr>
                <w:rFonts w:ascii="Times New Roman" w:hAnsi="Times New Roman" w:cs="Times New Roman"/>
                <w:sz w:val="28"/>
                <w:szCs w:val="28"/>
              </w:rPr>
            </w:pPr>
            <w:r w:rsidRPr="009E0BCC">
              <w:rPr>
                <w:rFonts w:ascii="Times New Roman" w:hAnsi="Times New Roman" w:cs="Times New Roman"/>
                <w:sz w:val="28"/>
                <w:szCs w:val="28"/>
              </w:rPr>
              <w:t xml:space="preserve">Bidder may submit the Bid Security in original at any time before the deadline of the bid submission. In case of non-submission of Bid Security by this time, the Bidder shall however, be required to furnish the Bid Security at any time between the date of opening of bids and within a specified timeline of 5 (Five) days once the Employer communicates the same. Bidder may note that the Price Bid shall not be opened in case of breach obligation of submission of Bid Security as above besides taking punitive measures as deemed fit. Bidders shall also be required to submit a declaration securing their bid as per </w:t>
            </w:r>
            <w:r w:rsidRPr="009E0BCC">
              <w:rPr>
                <w:rFonts w:ascii="Times New Roman" w:hAnsi="Times New Roman" w:cs="Times New Roman"/>
                <w:b/>
                <w:bCs/>
                <w:sz w:val="28"/>
                <w:szCs w:val="28"/>
              </w:rPr>
              <w:t>Attachment-23</w:t>
            </w:r>
            <w:r w:rsidRPr="009E0BCC">
              <w:rPr>
                <w:rFonts w:ascii="Times New Roman" w:hAnsi="Times New Roman" w:cs="Times New Roman"/>
                <w:sz w:val="28"/>
                <w:szCs w:val="28"/>
              </w:rPr>
              <w:t xml:space="preserve"> of the bidding documents along</w:t>
            </w:r>
            <w:r>
              <w:rPr>
                <w:rFonts w:ascii="Times New Roman" w:hAnsi="Times New Roman" w:cs="Times New Roman"/>
                <w:sz w:val="28"/>
                <w:szCs w:val="28"/>
              </w:rPr>
              <w:t xml:space="preserve"> </w:t>
            </w:r>
            <w:r w:rsidRPr="009E0BCC">
              <w:rPr>
                <w:rFonts w:ascii="Times New Roman" w:hAnsi="Times New Roman" w:cs="Times New Roman"/>
                <w:sz w:val="28"/>
                <w:szCs w:val="28"/>
              </w:rPr>
              <w:t>with the bid or subsequently pursuant to be ITB Clause 21.1. Bidder may also note that the declaration of inter alia contains provision to the extent that non-submission of Bid Security shall be considered as withdrawal of the bid and would be treated accordingly.</w:t>
            </w:r>
            <w:r w:rsidRPr="009E0BCC">
              <w:rPr>
                <w:rFonts w:ascii="Times New Roman" w:hAnsi="Times New Roman" w:cs="Times New Roman"/>
                <w:sz w:val="28"/>
                <w:szCs w:val="28"/>
              </w:rPr>
              <w:br/>
            </w:r>
          </w:p>
          <w:p w14:paraId="51B9D12E" w14:textId="77777777" w:rsidR="00767BA4" w:rsidRPr="009E0BCC" w:rsidRDefault="00767BA4" w:rsidP="00767BA4">
            <w:pPr>
              <w:pStyle w:val="Default"/>
              <w:jc w:val="both"/>
              <w:rPr>
                <w:rFonts w:ascii="Times New Roman" w:hAnsi="Times New Roman" w:cs="Times New Roman"/>
                <w:sz w:val="28"/>
                <w:szCs w:val="28"/>
              </w:rPr>
            </w:pPr>
            <w:r w:rsidRPr="009E0BCC">
              <w:rPr>
                <w:rFonts w:ascii="Times New Roman" w:hAnsi="Times New Roman" w:cs="Times New Roman"/>
                <w:sz w:val="28"/>
                <w:szCs w:val="28"/>
              </w:rPr>
              <w:t>Other documents required to be submitted as part of Hard Copy Part of the Bid shall be scanned and uploaded as part of First Envelope in Soft Copy Part of the Bid as per provisions of ITB Clause 9 (II)</w:t>
            </w:r>
          </w:p>
          <w:p w14:paraId="609AB18B" w14:textId="77777777" w:rsidR="00767BA4" w:rsidRPr="009E0BCC" w:rsidRDefault="00767BA4" w:rsidP="00767BA4">
            <w:pPr>
              <w:pStyle w:val="Default"/>
              <w:jc w:val="both"/>
              <w:rPr>
                <w:rFonts w:ascii="Times New Roman" w:hAnsi="Times New Roman" w:cs="Times New Roman"/>
                <w:sz w:val="28"/>
                <w:szCs w:val="28"/>
              </w:rPr>
            </w:pPr>
          </w:p>
          <w:p w14:paraId="299A078D" w14:textId="77777777" w:rsidR="00767BA4" w:rsidRPr="009E0BCC" w:rsidRDefault="00767BA4" w:rsidP="00767BA4">
            <w:pPr>
              <w:pStyle w:val="Default"/>
              <w:jc w:val="both"/>
              <w:rPr>
                <w:rFonts w:ascii="Times New Roman" w:hAnsi="Times New Roman" w:cs="Times New Roman"/>
                <w:sz w:val="28"/>
                <w:szCs w:val="28"/>
              </w:rPr>
            </w:pPr>
            <w:r w:rsidRPr="009E0BCC">
              <w:rPr>
                <w:rFonts w:ascii="Times New Roman" w:hAnsi="Times New Roman" w:cs="Times New Roman"/>
                <w:sz w:val="28"/>
                <w:szCs w:val="28"/>
              </w:rPr>
              <w:lastRenderedPageBreak/>
              <w:t>Bidder may note that the submission of documents required to be executed on non-judicial stamp paper or requirement of attestation/notarization shall also not be a pre-requisite for submission in the scanned form and may be executed on the letterhead of the firm.</w:t>
            </w:r>
          </w:p>
          <w:p w14:paraId="15206ED6" w14:textId="77777777" w:rsidR="00767BA4" w:rsidRPr="009E0BCC" w:rsidRDefault="00767BA4" w:rsidP="00767BA4">
            <w:pPr>
              <w:pStyle w:val="Default"/>
              <w:jc w:val="both"/>
              <w:rPr>
                <w:rFonts w:ascii="Times New Roman" w:hAnsi="Times New Roman" w:cs="Times New Roman"/>
                <w:sz w:val="28"/>
                <w:szCs w:val="28"/>
              </w:rPr>
            </w:pPr>
          </w:p>
          <w:p w14:paraId="1848CD94" w14:textId="77777777" w:rsidR="00767BA4" w:rsidRPr="009E0BCC" w:rsidRDefault="00767BA4" w:rsidP="00767BA4">
            <w:pPr>
              <w:pStyle w:val="Default"/>
              <w:jc w:val="both"/>
              <w:rPr>
                <w:rFonts w:ascii="Times New Roman" w:hAnsi="Times New Roman" w:cs="Times New Roman"/>
                <w:sz w:val="28"/>
                <w:szCs w:val="28"/>
              </w:rPr>
            </w:pPr>
            <w:r w:rsidRPr="009E0BCC">
              <w:rPr>
                <w:rFonts w:ascii="Times New Roman" w:hAnsi="Times New Roman" w:cs="Times New Roman"/>
                <w:sz w:val="28"/>
                <w:szCs w:val="28"/>
              </w:rPr>
              <w:t xml:space="preserve">All these documents shall however be furnished by the successful bidder(s) in original/hard part as per requirement specified in the bidding documents including execution of the documents on non-judicial stamp paper or requirement of attestation/notarization etc. Further, no change shall be permitted in the content of the Hard Copy and earlier submitted scan copy. Bidders shall also submit an Undertaking to this effect along with the soft part of the bid as per </w:t>
            </w:r>
            <w:r w:rsidRPr="009E0BCC">
              <w:rPr>
                <w:rFonts w:ascii="Times New Roman" w:hAnsi="Times New Roman" w:cs="Times New Roman"/>
                <w:b/>
                <w:bCs/>
                <w:sz w:val="28"/>
                <w:szCs w:val="28"/>
              </w:rPr>
              <w:t xml:space="preserve">Attachment-24 </w:t>
            </w:r>
            <w:r w:rsidRPr="009E0BCC">
              <w:rPr>
                <w:rFonts w:ascii="Times New Roman" w:hAnsi="Times New Roman" w:cs="Times New Roman"/>
                <w:sz w:val="28"/>
                <w:szCs w:val="28"/>
              </w:rPr>
              <w:t xml:space="preserve">of the bidding documents along with the Bid or subsequently pursuant to be ITB Clause 21.1. Bidder may also note that the undertaking inter alia contains provision to the extent that non-submission of these documents as above shall be considered as withdrawal of the bid and would be treated accordingly. </w:t>
            </w:r>
          </w:p>
          <w:p w14:paraId="3C036555" w14:textId="77777777" w:rsidR="00767BA4" w:rsidRPr="009E0BCC" w:rsidRDefault="00767BA4" w:rsidP="00767BA4">
            <w:pPr>
              <w:pStyle w:val="Default"/>
              <w:jc w:val="both"/>
              <w:rPr>
                <w:rFonts w:ascii="Times New Roman" w:hAnsi="Times New Roman" w:cs="Times New Roman"/>
                <w:sz w:val="28"/>
                <w:szCs w:val="28"/>
              </w:rPr>
            </w:pPr>
          </w:p>
          <w:p w14:paraId="69533B0E" w14:textId="77777777" w:rsidR="00767BA4" w:rsidRDefault="00767BA4" w:rsidP="00767BA4">
            <w:pPr>
              <w:pStyle w:val="Default"/>
              <w:jc w:val="both"/>
              <w:rPr>
                <w:rFonts w:ascii="Times New Roman" w:hAnsi="Times New Roman" w:cs="Times New Roman"/>
                <w:sz w:val="28"/>
                <w:szCs w:val="28"/>
              </w:rPr>
            </w:pPr>
            <w:r w:rsidRPr="009E0BCC">
              <w:rPr>
                <w:rFonts w:ascii="Times New Roman" w:hAnsi="Times New Roman" w:cs="Times New Roman"/>
                <w:sz w:val="28"/>
                <w:szCs w:val="28"/>
              </w:rPr>
              <w:t>The provision specified at other clauses of the Bidding Documents shall be read in conjunction with the provisions specified hereinabove.</w:t>
            </w:r>
          </w:p>
          <w:p w14:paraId="390D655F" w14:textId="77777777" w:rsidR="00122364" w:rsidRDefault="00122364" w:rsidP="00767BA4">
            <w:pPr>
              <w:pStyle w:val="Default"/>
              <w:jc w:val="both"/>
              <w:rPr>
                <w:rFonts w:ascii="Times New Roman" w:hAnsi="Times New Roman" w:cs="Times New Roman"/>
                <w:sz w:val="28"/>
                <w:szCs w:val="28"/>
              </w:rPr>
            </w:pPr>
          </w:p>
          <w:p w14:paraId="51F6CCD2" w14:textId="77777777" w:rsidR="00122364" w:rsidRPr="009E0BCC" w:rsidRDefault="00122364" w:rsidP="00767BA4">
            <w:pPr>
              <w:pStyle w:val="Default"/>
              <w:jc w:val="both"/>
              <w:rPr>
                <w:rFonts w:ascii="Times New Roman" w:hAnsi="Times New Roman" w:cs="Times New Roman"/>
                <w:sz w:val="28"/>
                <w:szCs w:val="28"/>
              </w:rPr>
            </w:pPr>
            <w:r>
              <w:rPr>
                <w:rFonts w:ascii="Times New Roman" w:hAnsi="Times New Roman" w:cs="Times New Roman"/>
                <w:sz w:val="28"/>
                <w:szCs w:val="28"/>
              </w:rPr>
              <w:t>Notwithstanding the above, Employer reserves the right to modify/revise or restore the provisions keeping in view the changes in circumstances.</w:t>
            </w:r>
          </w:p>
          <w:p w14:paraId="041C6FEE" w14:textId="77777777" w:rsidR="00767BA4" w:rsidRPr="009E0BCC" w:rsidRDefault="00767BA4" w:rsidP="00767BA4">
            <w:pPr>
              <w:pStyle w:val="Default"/>
              <w:jc w:val="both"/>
              <w:rPr>
                <w:sz w:val="28"/>
                <w:szCs w:val="28"/>
              </w:rPr>
            </w:pPr>
          </w:p>
        </w:tc>
      </w:tr>
      <w:tr w:rsidR="00767BA4" w:rsidRPr="00E361A3" w14:paraId="3D7FD042" w14:textId="77777777" w:rsidTr="00767BA4">
        <w:tc>
          <w:tcPr>
            <w:tcW w:w="852" w:type="dxa"/>
            <w:tcBorders>
              <w:right w:val="single" w:sz="4" w:space="0" w:color="auto"/>
            </w:tcBorders>
          </w:tcPr>
          <w:p w14:paraId="33AE4F29" w14:textId="77777777" w:rsidR="00767BA4" w:rsidRPr="00E361A3" w:rsidRDefault="00767BA4" w:rsidP="00FF29A3">
            <w:pPr>
              <w:numPr>
                <w:ilvl w:val="0"/>
                <w:numId w:val="1"/>
              </w:numPr>
              <w:ind w:left="0" w:hanging="18"/>
              <w:jc w:val="center"/>
              <w:rPr>
                <w:rFonts w:ascii="Arial" w:hAnsi="Arial" w:cs="Arial"/>
              </w:rPr>
            </w:pPr>
          </w:p>
        </w:tc>
        <w:tc>
          <w:tcPr>
            <w:tcW w:w="1842" w:type="dxa"/>
            <w:tcBorders>
              <w:right w:val="single" w:sz="4" w:space="0" w:color="auto"/>
            </w:tcBorders>
          </w:tcPr>
          <w:p w14:paraId="411FAF1C" w14:textId="77777777" w:rsidR="00767BA4" w:rsidRPr="00E361A3" w:rsidRDefault="00767BA4" w:rsidP="00767BA4">
            <w:pPr>
              <w:rPr>
                <w:rFonts w:ascii="Arial" w:hAnsi="Arial" w:cs="Arial"/>
              </w:rPr>
            </w:pPr>
            <w:r>
              <w:rPr>
                <w:rFonts w:ascii="Arial" w:hAnsi="Arial" w:cs="Arial"/>
                <w:sz w:val="22"/>
                <w:szCs w:val="22"/>
              </w:rPr>
              <w:t>ITB 9.3</w:t>
            </w:r>
          </w:p>
        </w:tc>
        <w:tc>
          <w:tcPr>
            <w:tcW w:w="1560" w:type="dxa"/>
            <w:tcBorders>
              <w:right w:val="single" w:sz="4" w:space="0" w:color="auto"/>
            </w:tcBorders>
          </w:tcPr>
          <w:p w14:paraId="778DAF7E" w14:textId="77777777" w:rsidR="00767BA4" w:rsidRDefault="00767BA4" w:rsidP="00FF29A3">
            <w:pPr>
              <w:rPr>
                <w:rFonts w:ascii="Arial" w:hAnsi="Arial" w:cs="Arial"/>
                <w:sz w:val="22"/>
                <w:szCs w:val="22"/>
              </w:rPr>
            </w:pPr>
          </w:p>
        </w:tc>
        <w:tc>
          <w:tcPr>
            <w:tcW w:w="10695" w:type="dxa"/>
            <w:tcBorders>
              <w:left w:val="single" w:sz="4" w:space="0" w:color="auto"/>
            </w:tcBorders>
          </w:tcPr>
          <w:p w14:paraId="11926B50" w14:textId="77777777" w:rsidR="00767BA4" w:rsidRPr="00767BA4" w:rsidRDefault="00767BA4" w:rsidP="00767BA4">
            <w:pPr>
              <w:ind w:left="1446" w:hanging="1446"/>
              <w:jc w:val="both"/>
              <w:rPr>
                <w:sz w:val="28"/>
                <w:szCs w:val="28"/>
              </w:rPr>
            </w:pPr>
            <w:r w:rsidRPr="00767BA4">
              <w:rPr>
                <w:sz w:val="28"/>
                <w:szCs w:val="28"/>
              </w:rPr>
              <w:t>Added New Clauses ITB 9.3(w) and ITB 9.3(x):</w:t>
            </w:r>
          </w:p>
          <w:p w14:paraId="392B9D53" w14:textId="77777777" w:rsidR="00767BA4" w:rsidRPr="00767BA4" w:rsidRDefault="00767BA4" w:rsidP="00767BA4">
            <w:pPr>
              <w:ind w:left="1446" w:hanging="1446"/>
              <w:jc w:val="both"/>
              <w:rPr>
                <w:sz w:val="28"/>
                <w:szCs w:val="28"/>
              </w:rPr>
            </w:pPr>
          </w:p>
          <w:p w14:paraId="593F5B02" w14:textId="77777777" w:rsidR="00767BA4" w:rsidRPr="00767BA4" w:rsidRDefault="00767BA4" w:rsidP="00767BA4">
            <w:pPr>
              <w:ind w:left="1446" w:hanging="1446"/>
              <w:jc w:val="both"/>
              <w:rPr>
                <w:sz w:val="28"/>
                <w:szCs w:val="28"/>
              </w:rPr>
            </w:pPr>
            <w:r w:rsidRPr="00767BA4">
              <w:rPr>
                <w:sz w:val="28"/>
                <w:szCs w:val="28"/>
              </w:rPr>
              <w:t>w. Attachment-23: Declaration for Securing the bid in case of non-submission of Bid Security before the deadline of bid submission.</w:t>
            </w:r>
          </w:p>
          <w:p w14:paraId="6E933E1B" w14:textId="77777777" w:rsidR="00767BA4" w:rsidRPr="00767BA4" w:rsidRDefault="00767BA4" w:rsidP="00767BA4">
            <w:pPr>
              <w:ind w:left="1446" w:hanging="1446"/>
              <w:jc w:val="both"/>
              <w:rPr>
                <w:sz w:val="28"/>
                <w:szCs w:val="28"/>
              </w:rPr>
            </w:pPr>
            <w:r w:rsidRPr="00767BA4">
              <w:rPr>
                <w:sz w:val="28"/>
                <w:szCs w:val="28"/>
              </w:rPr>
              <w:t>v. Attachment-24: Undertaking regarding submission of Original/Hard Copy part of the bid except for Bid Security.</w:t>
            </w:r>
          </w:p>
          <w:p w14:paraId="21C27E9B" w14:textId="77777777" w:rsidR="00767BA4" w:rsidRPr="00767BA4" w:rsidRDefault="00767BA4" w:rsidP="00FF29A3">
            <w:pPr>
              <w:jc w:val="both"/>
              <w:rPr>
                <w:b/>
                <w:bCs/>
              </w:rPr>
            </w:pPr>
          </w:p>
        </w:tc>
      </w:tr>
    </w:tbl>
    <w:p w14:paraId="6B65468C" w14:textId="77777777" w:rsidR="00242883" w:rsidRDefault="00242883"/>
    <w:p w14:paraId="27504925" w14:textId="77777777" w:rsidR="00767BA4" w:rsidRPr="00767BA4" w:rsidRDefault="00767BA4">
      <w:pPr>
        <w:rPr>
          <w:b/>
          <w:bCs/>
          <w:i/>
          <w:iCs/>
        </w:rPr>
      </w:pPr>
      <w:bookmarkStart w:id="0" w:name="_GoBack"/>
      <w:bookmarkEnd w:id="0"/>
    </w:p>
    <w:sectPr w:rsidR="00767BA4" w:rsidRPr="00767BA4" w:rsidSect="00767BA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D5E6F"/>
    <w:multiLevelType w:val="hybridMultilevel"/>
    <w:tmpl w:val="0BB8E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BA4"/>
    <w:rsid w:val="00122364"/>
    <w:rsid w:val="00242883"/>
    <w:rsid w:val="00767BA4"/>
    <w:rsid w:val="00F6727E"/>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BC6D"/>
  <w15:chartTrackingRefBased/>
  <w15:docId w15:val="{DA9E9D73-270A-45B5-AAFD-745C90AC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7BA4"/>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BA4"/>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dc:creator>
  <cp:keywords/>
  <dc:description/>
  <cp:lastModifiedBy>Admin</cp:lastModifiedBy>
  <cp:revision>3</cp:revision>
  <dcterms:created xsi:type="dcterms:W3CDTF">2020-05-14T12:32:00Z</dcterms:created>
  <dcterms:modified xsi:type="dcterms:W3CDTF">2020-05-16T13:29:00Z</dcterms:modified>
</cp:coreProperties>
</file>