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71250514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TL01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EXT-I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Date: </w:t>
      </w:r>
      <w:r w:rsidR="00097624" w:rsidRPr="00097624">
        <w:rPr>
          <w:rFonts w:ascii="Times New Roman" w:hAnsi="Times New Roman" w:cs="Times New Roman"/>
          <w:b/>
          <w:sz w:val="20"/>
          <w:lang w:val="en-GB"/>
        </w:rPr>
        <w:t>19/06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5DBF7130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Pre-Bid Tie up for Transmission Line Package TL01 for 765 kV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Robertsganj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PS –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Prayagraj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S/s D/c line- Part-I associated with “Transmission system for evacuation of power from pumped storage projects in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sonbhadra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district, Uttar Pradesh” through tariff based competitive bidding (TBCB) route prior to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bid submission by POWERGRID to BPC. Spec No.: </w:t>
      </w:r>
      <w:r w:rsidR="00097624" w:rsidRPr="00097624">
        <w:rPr>
          <w:rFonts w:ascii="Times New Roman" w:hAnsi="Times New Roman" w:cs="Times New Roman"/>
          <w:sz w:val="20"/>
        </w:rPr>
        <w:t>CC/T/W-TW/DOM/A10/25/07480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538BA3D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F194C51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789197C3" w14:textId="0E93D045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18/06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047819F7" w14:textId="456D723C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0E88D19B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31DDD59E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2658CB9E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2D362C7" w14:textId="71D83278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20/06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25FEC5FF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E0B11D5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44551430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20/06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807C2B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3177B80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29/06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11C5F28D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01/07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1CD80DE1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01/07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097624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bookmarkStart w:id="0" w:name="_GoBack"/>
      <w:r w:rsidRPr="00097624"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.25pt;height:31.5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slDI6gY11HstCH5pZwShBH+OZqTMKY2yQyTeQAd0hoM=</DigestValue>
    </Reference>
    <Reference Type="http://www.w3.org/2000/09/xmldsig#Object" URI="#idOfficeObject">
      <DigestMethod Algorithm="http://www.w3.org/2001/04/xmlenc#sha256"/>
      <DigestValue>qmA5720cP1IyHuRN8gopUP6gycY26vJod4kv5Vh6WIw=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UKY5Dl0JWWnCTZ5gRDtTxIdbJ7lWhk/Zd5fNYeJXQzw=</DigestValue>
    </Reference>
    <Reference Type="http://www.w3.org/2000/09/xmldsig#Object" URI="#idValidSigLnImg">
      <DigestMethod Algorithm="http://www.w3.org/2001/04/xmlenc#sha256"/>
      <DigestValue>PoB2ReBnotkN/m68uzqhdyOnMCpNzvuGCvFWHd4jHqo=</DigestValue>
    </Reference>
    <Reference Type="http://www.w3.org/2000/09/xmldsig#Object" URI="#idInvalidSigLnImg">
      <DigestMethod Algorithm="http://www.w3.org/2001/04/xmlenc#sha256"/>
      <DigestValue>mHLQrJLvBOXr4bgfDIPg3pEeMPxVgdvmRc6+Bz6Zev0=</DigestValue>
    </Reference>
  </SignedInfo>
  <SignatureValue>shnjSj33ZuxFkuZcwoCWoDffWVgeVnEN/GzHUQtVnaxwnY4qGRut6NIdINZfpx4g+upXMZ6KX2Zm
QSVUanIIYTVmDvDPbbku1ldJhnUuyO9KzVsb7FUgnqaFWBp/tEBPnFSScXcWjg2yyWkW61dZzL65
+CcUcIE+DVlpp9DIxys4WyLXTRhr/+uhqbVB8jwmqXd/ipT5mZSdfGG+pOvqP4mMSJE6Sm4uxJnG
qH4uz1vTsAOxLzfDazhW6ELQlqMrwE/5A/xmKAy4IYZWwhNo9zkPPcteNfz7X1gJrw5iuWnEbHnX
dtxKP1jDxEd58YLy3UbsIffpVLPzTRqbY/KnlA==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3oN2WOoREIMnTezgyyEfRcgdrm0llgrquBCedlD1uIo=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YIjLi15Vfqw64A/qOwY92DlZHCKVh+VUD8aBrnsu3TI=</DigestValue>
      </Reference>
      <Reference URI="/word/footer1.xml?ContentType=application/vnd.openxmlformats-officedocument.wordprocessingml.footer+xml">
        <DigestMethod Algorithm="http://www.w3.org/2001/04/xmlenc#sha256"/>
        <DigestValue>PexZ9tWtZchcwunojUolZGNWxXwlJ5k1MW2VkrhFIbw=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48gIdFGLUOcFzaTsKrkF2aU4xpPBJ9vrJ9pRvWtmlEI=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HgN7UoOUfaB7Ddc7Ohkk29swkRiqVJ7YCiFZhvLJbDE=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2025-06-20T04:24:22Z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2025-06-20T04:24:22Z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S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5Fr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D1CF-FF26-422D-B168-1C9540C8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8</cp:revision>
  <cp:lastPrinted>2024-10-04T05:28:00Z</cp:lastPrinted>
  <dcterms:created xsi:type="dcterms:W3CDTF">2024-10-04T05:28:00Z</dcterms:created>
  <dcterms:modified xsi:type="dcterms:W3CDTF">2025-06-20T04:24:00Z</dcterms:modified>
</cp:coreProperties>
</file>