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EF494F9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E3DF9">
        <w:rPr>
          <w:rFonts w:ascii="Aptos" w:hAnsi="Aptos"/>
          <w:b/>
          <w:bCs/>
          <w:sz w:val="18"/>
          <w:szCs w:val="18"/>
        </w:rPr>
        <w:t>1</w:t>
      </w:r>
      <w:r w:rsidR="005C2305">
        <w:rPr>
          <w:rFonts w:ascii="Aptos" w:hAnsi="Aptos"/>
          <w:b/>
          <w:bCs/>
          <w:sz w:val="18"/>
          <w:szCs w:val="18"/>
        </w:rPr>
        <w:t>6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5C2305">
        <w:rPr>
          <w:rFonts w:ascii="Aptos" w:hAnsi="Aptos" w:cs="Courier New"/>
          <w:b/>
          <w:sz w:val="18"/>
          <w:szCs w:val="18"/>
          <w:lang w:val="en-GB"/>
        </w:rPr>
        <w:t>05.08</w:t>
      </w:r>
      <w:r w:rsidR="00BB2CEE">
        <w:rPr>
          <w:rFonts w:ascii="Aptos" w:hAnsi="Aptos" w:cs="Courier New"/>
          <w:b/>
          <w:sz w:val="18"/>
          <w:szCs w:val="18"/>
          <w:lang w:val="en-GB"/>
        </w:rPr>
        <w:t>.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332E7B" w:rsidRPr="00E1295F" w14:paraId="1B0B6B12" w14:textId="77777777" w:rsidTr="005C2305">
        <w:trPr>
          <w:trHeight w:val="1235"/>
        </w:trPr>
        <w:tc>
          <w:tcPr>
            <w:tcW w:w="4331" w:type="dxa"/>
          </w:tcPr>
          <w:p w14:paraId="0930A52D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A3D727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4BB4EE5" w14:textId="77777777" w:rsidR="005C2305" w:rsidRPr="00A83560" w:rsidRDefault="005C2305" w:rsidP="005C230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>
              <w:rPr>
                <w:rFonts w:ascii="Aptos" w:hAnsi="Aptos" w:cs="Nirmala UI"/>
                <w:sz w:val="18"/>
                <w:szCs w:val="18"/>
              </w:rPr>
              <w:t>: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06/08/2025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00CE8AED" w14:textId="77777777" w:rsidR="005C2305" w:rsidRPr="00A83560" w:rsidRDefault="005C2305" w:rsidP="005C230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0EB45083" w14:textId="77777777" w:rsidR="005C2305" w:rsidRPr="00A83560" w:rsidRDefault="005C2305" w:rsidP="005C230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36815DBA" w14:textId="77777777" w:rsidR="005C2305" w:rsidRPr="00A83560" w:rsidRDefault="005C2305" w:rsidP="005C230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BF56707" w:rsidR="00332E7B" w:rsidRPr="00E1295F" w:rsidRDefault="005C2305" w:rsidP="005C230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08/08/2025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6BCE1898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="009A7D26">
              <w:rPr>
                <w:rFonts w:ascii="Aptos" w:hAnsi="Aptos" w:cs="Nirmala UI"/>
                <w:sz w:val="18"/>
                <w:szCs w:val="18"/>
              </w:rPr>
              <w:t>: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5C2305">
              <w:rPr>
                <w:rFonts w:ascii="Aptos" w:hAnsi="Aptos" w:cstheme="majorBidi"/>
                <w:sz w:val="18"/>
                <w:szCs w:val="18"/>
              </w:rPr>
              <w:t>09</w:t>
            </w:r>
            <w:r w:rsidR="00914729">
              <w:rPr>
                <w:rFonts w:ascii="Aptos" w:hAnsi="Aptos" w:cstheme="majorBidi"/>
                <w:sz w:val="18"/>
                <w:szCs w:val="18"/>
              </w:rPr>
              <w:t>/08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332E7B" w:rsidRPr="00A83560" w:rsidRDefault="00332E7B" w:rsidP="00332E7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332E7B" w:rsidRPr="00A83560" w:rsidRDefault="00332E7B" w:rsidP="00332E7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EFE7A76" w:rsidR="00332E7B" w:rsidRPr="00E1295F" w:rsidRDefault="00332E7B" w:rsidP="00332E7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5C2305">
              <w:rPr>
                <w:rFonts w:ascii="Aptos" w:hAnsi="Aptos" w:cstheme="majorBidi"/>
                <w:sz w:val="18"/>
                <w:szCs w:val="18"/>
              </w:rPr>
              <w:t>11</w:t>
            </w:r>
            <w:r w:rsidR="009A7D26">
              <w:rPr>
                <w:rFonts w:ascii="Aptos" w:hAnsi="Aptos" w:cstheme="majorBidi"/>
                <w:sz w:val="18"/>
                <w:szCs w:val="18"/>
              </w:rPr>
              <w:t>/08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5C2305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75pt;height:37.5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772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D496C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2558"/>
    <w:rsid w:val="001A4FB5"/>
    <w:rsid w:val="001B1374"/>
    <w:rsid w:val="001B75BA"/>
    <w:rsid w:val="001C258A"/>
    <w:rsid w:val="001C48A1"/>
    <w:rsid w:val="001C4C03"/>
    <w:rsid w:val="001D7081"/>
    <w:rsid w:val="001E3DF9"/>
    <w:rsid w:val="00211040"/>
    <w:rsid w:val="00213888"/>
    <w:rsid w:val="0021561F"/>
    <w:rsid w:val="002256B4"/>
    <w:rsid w:val="00234ED4"/>
    <w:rsid w:val="00237661"/>
    <w:rsid w:val="002407BB"/>
    <w:rsid w:val="00244D2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2E7B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C68A3"/>
    <w:rsid w:val="004C73CE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C2305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6F1DBD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71CB8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14729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A7D26"/>
    <w:rsid w:val="009B3DF2"/>
    <w:rsid w:val="009C1518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2CEE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CF7B17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261A"/>
    <w:rsid w:val="00E9377C"/>
    <w:rsid w:val="00E945EE"/>
    <w:rsid w:val="00E94CAB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188A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105D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ma/zOUAlEPQeY/xq59rbMVx/Kwhov1bcnDm5oWPtvSc=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dt9yAr45EKaK0tyUixXkd6N53+drUkMsCs9GbkWWanE=</DigestValue>
    </Reference>
    <Reference Type="http://www.w3.org/2000/09/xmldsig#Object" URI="#idValidSigLnImg">
      <DigestMethod Algorithm="http://www.w3.org/2001/04/xmlenc#sha256"/>
      <DigestValue>CvFnbSy/a2cJph6FH7m93KWv6hIA2GsF2K5n14Z4RJg=</DigestValue>
    </Reference>
    <Reference Type="http://www.w3.org/2000/09/xmldsig#Object" URI="#idInvalidSigLnImg">
      <DigestMethod Algorithm="http://www.w3.org/2001/04/xmlenc#sha256"/>
      <DigestValue>pul3A329z5kM/JozPqPhybMKvjk5xxVUHV8XFXFLP5c=</DigestValue>
    </Reference>
  </SignedInfo>
  <SignatureValue>ot5rT8BnN56nsdK60smwf3NC5m4AmgyFUEbDNNnJ4cr38QRKl+krQwjZNiOxVrt1UDVwKP1MXHRH
PnAMBgSoTIWZ8Xxm00EzwvRPcVbVRCppJ0oAqLNbVHjUpnN8L9/jEYnp/WXv0VY3aWrfMgvajTDU
lvPzXdRV3JIAboYLMNuRBMwjNmOg5Q8J3bq7YJ2Tw19ZuUvzfIyfDzHouT87QjhJNr+IC+jDSQMe
yb9QbQz+7oY3yB0DBoAgrmoK92kMWYlHMJf5tzQ9KJe+WEcPgMN4shCaZUvX5S0tYo8pqB0cQxdx
5p3H/JKU92tB5NT7mF2Y832QaxjrFfxnGUO1cg==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NXABCxcNNV18QAzDG4rpJX1Lus2f1SHq/yGZiGAEaFA=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Mz55Zs0oKyFSzhPQAgLa6MO/b1jMjgflCJNpo2ZvN5c=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N8/R6+Socu/npqHJAMYqrzWmeUFvqeyB778ReDwBizE=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2025-08-05T04:48:25Z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2025-08-05T04:48:25Z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AA4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/b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166</cp:revision>
  <cp:lastPrinted>2024-07-10T03:11:00Z</cp:lastPrinted>
  <dcterms:created xsi:type="dcterms:W3CDTF">2023-05-10T13:11:00Z</dcterms:created>
  <dcterms:modified xsi:type="dcterms:W3CDTF">2025-08-05T04:48:00Z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2025-06-13T04:30:28Z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0b995223-d1bd-4202-a6c2-a4b4165b3265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