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6AE47" w14:textId="4E2CF1B1" w:rsidR="00E4603C" w:rsidRPr="00CF23BF" w:rsidRDefault="00E4603C" w:rsidP="0036463B">
      <w:pPr>
        <w:jc w:val="both"/>
        <w:rPr>
          <w:b/>
          <w:bCs/>
          <w:sz w:val="2"/>
          <w:szCs w:val="2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057"/>
        <w:gridCol w:w="1915"/>
        <w:gridCol w:w="5812"/>
        <w:gridCol w:w="5812"/>
      </w:tblGrid>
      <w:tr w:rsidR="00AD5140" w14:paraId="0E4DC0F7" w14:textId="77777777" w:rsidTr="000A4B85">
        <w:trPr>
          <w:trHeight w:val="580"/>
        </w:trPr>
        <w:tc>
          <w:tcPr>
            <w:tcW w:w="1057" w:type="dxa"/>
          </w:tcPr>
          <w:p w14:paraId="4251BD51" w14:textId="7E39A5C8" w:rsidR="00AD5140" w:rsidRPr="00F72137" w:rsidRDefault="00AD5140" w:rsidP="0036463B">
            <w:pPr>
              <w:jc w:val="both"/>
              <w:rPr>
                <w:b/>
                <w:bCs/>
              </w:rPr>
            </w:pPr>
            <w:r w:rsidRPr="00F72137">
              <w:rPr>
                <w:b/>
                <w:bCs/>
              </w:rPr>
              <w:t>Sl. No.</w:t>
            </w:r>
          </w:p>
        </w:tc>
        <w:tc>
          <w:tcPr>
            <w:tcW w:w="1915" w:type="dxa"/>
          </w:tcPr>
          <w:p w14:paraId="54D899D3" w14:textId="58449F4F" w:rsidR="00AD5140" w:rsidRPr="00F72137" w:rsidRDefault="00AD5140" w:rsidP="0036463B">
            <w:pPr>
              <w:jc w:val="both"/>
              <w:rPr>
                <w:b/>
                <w:bCs/>
              </w:rPr>
            </w:pPr>
            <w:r w:rsidRPr="00F72137">
              <w:rPr>
                <w:b/>
                <w:bCs/>
              </w:rPr>
              <w:t>Clause Reference</w:t>
            </w:r>
          </w:p>
        </w:tc>
        <w:tc>
          <w:tcPr>
            <w:tcW w:w="5812" w:type="dxa"/>
          </w:tcPr>
          <w:p w14:paraId="149225D9" w14:textId="0792227E" w:rsidR="00AD5140" w:rsidRPr="00F72137" w:rsidRDefault="00AD5140" w:rsidP="0036463B">
            <w:pPr>
              <w:jc w:val="both"/>
              <w:rPr>
                <w:b/>
                <w:bCs/>
              </w:rPr>
            </w:pPr>
            <w:r w:rsidRPr="00F72137">
              <w:rPr>
                <w:b/>
                <w:bCs/>
              </w:rPr>
              <w:t>Existing Provision</w:t>
            </w:r>
          </w:p>
        </w:tc>
        <w:tc>
          <w:tcPr>
            <w:tcW w:w="5812" w:type="dxa"/>
          </w:tcPr>
          <w:p w14:paraId="45C2A26A" w14:textId="30B08060" w:rsidR="00AD5140" w:rsidRPr="00F72137" w:rsidRDefault="00AD5140" w:rsidP="0036463B">
            <w:pPr>
              <w:jc w:val="both"/>
              <w:rPr>
                <w:b/>
                <w:bCs/>
              </w:rPr>
            </w:pPr>
            <w:r w:rsidRPr="00F72137">
              <w:rPr>
                <w:b/>
                <w:bCs/>
              </w:rPr>
              <w:t>Amended Provision</w:t>
            </w:r>
          </w:p>
        </w:tc>
      </w:tr>
      <w:tr w:rsidR="00B94FCC" w14:paraId="008E96E5" w14:textId="77777777" w:rsidTr="000A4B85">
        <w:trPr>
          <w:trHeight w:val="580"/>
        </w:trPr>
        <w:tc>
          <w:tcPr>
            <w:tcW w:w="1057" w:type="dxa"/>
          </w:tcPr>
          <w:p w14:paraId="45C00B45" w14:textId="075324AC" w:rsidR="00B94FCC" w:rsidRDefault="00B94FCC" w:rsidP="00B94FCC">
            <w:pPr>
              <w:jc w:val="both"/>
            </w:pPr>
            <w:r>
              <w:t>1.</w:t>
            </w:r>
          </w:p>
        </w:tc>
        <w:tc>
          <w:tcPr>
            <w:tcW w:w="1915" w:type="dxa"/>
          </w:tcPr>
          <w:p w14:paraId="49522582" w14:textId="77777777" w:rsidR="00B94FCC" w:rsidRDefault="00B94FCC" w:rsidP="00B94FCC">
            <w:pPr>
              <w:jc w:val="both"/>
            </w:pPr>
            <w:r>
              <w:t>Section Project</w:t>
            </w:r>
          </w:p>
          <w:p w14:paraId="737D3440" w14:textId="45115576" w:rsidR="00B94FCC" w:rsidRDefault="00B94FCC" w:rsidP="00B94FCC">
            <w:pPr>
              <w:jc w:val="both"/>
            </w:pPr>
            <w:r>
              <w:t>1 (</w:t>
            </w:r>
            <w:r w:rsidR="005B09C8">
              <w:t>o</w:t>
            </w:r>
            <w:r>
              <w:t xml:space="preserve">) </w:t>
            </w:r>
          </w:p>
        </w:tc>
        <w:tc>
          <w:tcPr>
            <w:tcW w:w="5812" w:type="dxa"/>
          </w:tcPr>
          <w:p w14:paraId="5A27FC75" w14:textId="7DE33996" w:rsidR="00B94FCC" w:rsidRDefault="00332D41" w:rsidP="00332D41">
            <w:pPr>
              <w:jc w:val="both"/>
            </w:pPr>
            <w:r w:rsidRPr="00332D41">
              <w:t>The complete MGIS bay, including pre-installed bushing to be transported from one location to another location, permanent transportation packings</w:t>
            </w:r>
            <w:r w:rsidR="00960BBD">
              <w:t xml:space="preserve"> </w:t>
            </w:r>
            <w:r w:rsidRPr="00332D41">
              <w:t>/</w:t>
            </w:r>
            <w:r w:rsidR="00960BBD">
              <w:t xml:space="preserve"> </w:t>
            </w:r>
            <w:r w:rsidRPr="00332D41">
              <w:t>supports, cushioning, shock absorbers etc. for different portions of MGIS bay shall be suitably provided.</w:t>
            </w:r>
          </w:p>
          <w:p w14:paraId="4D08F625" w14:textId="77777777" w:rsidR="00332D41" w:rsidRDefault="00332D41" w:rsidP="00332D41">
            <w:pPr>
              <w:jc w:val="both"/>
            </w:pPr>
          </w:p>
          <w:p w14:paraId="254A6174" w14:textId="5448C993" w:rsidR="00332D41" w:rsidRDefault="00332D41" w:rsidP="00332D41">
            <w:pPr>
              <w:jc w:val="both"/>
            </w:pPr>
            <w:r w:rsidRPr="00332D41">
              <w:t>Alternatively, MGIS bay suitable for on-site pluggable bushing arrangements, requiring no on-site gas work or dry type mechanically rotatable bushings for the purpose of transport can also be provided.</w:t>
            </w:r>
          </w:p>
        </w:tc>
        <w:tc>
          <w:tcPr>
            <w:tcW w:w="5812" w:type="dxa"/>
          </w:tcPr>
          <w:p w14:paraId="0B4E8FDC" w14:textId="7E0082A0" w:rsidR="00332D41" w:rsidRDefault="00332D41" w:rsidP="00AA4E6D">
            <w:pPr>
              <w:jc w:val="both"/>
            </w:pPr>
            <w:r w:rsidRPr="00332D41">
              <w:t xml:space="preserve">The complete MGIS bay, including </w:t>
            </w:r>
            <w:r w:rsidRPr="00011761">
              <w:rPr>
                <w:strike/>
              </w:rPr>
              <w:t>pre-installed</w:t>
            </w:r>
            <w:r w:rsidRPr="00332D41">
              <w:t xml:space="preserve"> </w:t>
            </w:r>
            <w:r w:rsidR="00011761" w:rsidRPr="00011761">
              <w:rPr>
                <w:b/>
                <w:bCs/>
              </w:rPr>
              <w:t>gas to air</w:t>
            </w:r>
            <w:r w:rsidR="00011761">
              <w:t xml:space="preserve"> </w:t>
            </w:r>
            <w:r w:rsidRPr="00332D41">
              <w:t>bushing</w:t>
            </w:r>
            <w:r w:rsidR="00011761">
              <w:t>s</w:t>
            </w:r>
            <w:r w:rsidRPr="00332D41">
              <w:t xml:space="preserve"> to be transported from one location to another location, permanent transportation packings</w:t>
            </w:r>
            <w:r w:rsidR="00960BBD">
              <w:t xml:space="preserve"> </w:t>
            </w:r>
            <w:r w:rsidRPr="00332D41">
              <w:t>/</w:t>
            </w:r>
            <w:r w:rsidR="00960BBD">
              <w:t xml:space="preserve"> </w:t>
            </w:r>
            <w:r w:rsidRPr="00332D41">
              <w:t>supports, cushioning, shock absorbers etc. for different portions of MGIS bay shall be suitably provided.</w:t>
            </w:r>
          </w:p>
          <w:p w14:paraId="5FF1AEE1" w14:textId="77777777" w:rsidR="00332D41" w:rsidRDefault="00332D41" w:rsidP="00AA4E6D">
            <w:pPr>
              <w:jc w:val="both"/>
            </w:pPr>
          </w:p>
          <w:p w14:paraId="20FC1C9D" w14:textId="2391414E" w:rsidR="00B94FCC" w:rsidRDefault="00332D41" w:rsidP="00AA4E6D">
            <w:pPr>
              <w:jc w:val="both"/>
            </w:pPr>
            <w:r w:rsidRPr="00011761">
              <w:rPr>
                <w:strike/>
              </w:rPr>
              <w:t>Alternatively,</w:t>
            </w:r>
            <w:r w:rsidR="00011761" w:rsidRPr="00011761">
              <w:t xml:space="preserve"> </w:t>
            </w:r>
            <w:r w:rsidRPr="00332D41">
              <w:t xml:space="preserve">MGIS bay suitable </w:t>
            </w:r>
            <w:r w:rsidRPr="00011761">
              <w:rPr>
                <w:strike/>
              </w:rPr>
              <w:t>for</w:t>
            </w:r>
            <w:r w:rsidRPr="00332D41">
              <w:t xml:space="preserve"> </w:t>
            </w:r>
            <w:r w:rsidR="00011761" w:rsidRPr="00011761">
              <w:rPr>
                <w:b/>
                <w:bCs/>
              </w:rPr>
              <w:t>with</w:t>
            </w:r>
            <w:r w:rsidR="00011761">
              <w:t xml:space="preserve"> </w:t>
            </w:r>
            <w:r w:rsidRPr="00332D41">
              <w:t xml:space="preserve">on-site pluggable bushing arrangements requiring </w:t>
            </w:r>
            <w:r w:rsidR="00011761" w:rsidRPr="00011761">
              <w:t>no</w:t>
            </w:r>
            <w:r w:rsidR="00360BDA">
              <w:t xml:space="preserve"> </w:t>
            </w:r>
            <w:r w:rsidRPr="00332D41">
              <w:t xml:space="preserve">on-site gas work or dry type mechanically rotatable bushings </w:t>
            </w:r>
            <w:r w:rsidR="00011761" w:rsidRPr="00966D96">
              <w:rPr>
                <w:b/>
                <w:bCs/>
              </w:rPr>
              <w:t>or removable bushings</w:t>
            </w:r>
            <w:r w:rsidR="00011761">
              <w:t xml:space="preserve"> </w:t>
            </w:r>
            <w:r w:rsidRPr="00332D41">
              <w:t xml:space="preserve">for the purpose of transport can </w:t>
            </w:r>
            <w:r w:rsidRPr="00ED68B0">
              <w:t xml:space="preserve">also </w:t>
            </w:r>
            <w:r w:rsidRPr="00332D41">
              <w:t>be provided.</w:t>
            </w:r>
          </w:p>
          <w:p w14:paraId="2E3C9AFA" w14:textId="77777777" w:rsidR="00011761" w:rsidRDefault="00011761" w:rsidP="00AA4E6D">
            <w:pPr>
              <w:jc w:val="both"/>
            </w:pPr>
          </w:p>
          <w:p w14:paraId="5C1F4CF6" w14:textId="18907B8E" w:rsidR="00511970" w:rsidRDefault="00AA47FC" w:rsidP="00AA4E6D">
            <w:pPr>
              <w:jc w:val="both"/>
              <w:rPr>
                <w:b/>
                <w:bCs/>
              </w:rPr>
            </w:pPr>
            <w:bookmarkStart w:id="0" w:name="_Hlk186731479"/>
            <w:r w:rsidRPr="00966D96">
              <w:rPr>
                <w:b/>
                <w:bCs/>
              </w:rPr>
              <w:t xml:space="preserve">In case </w:t>
            </w:r>
            <w:r w:rsidR="00511970">
              <w:rPr>
                <w:b/>
                <w:bCs/>
              </w:rPr>
              <w:t xml:space="preserve">MGIS bay </w:t>
            </w:r>
            <w:r w:rsidRPr="00966D96">
              <w:rPr>
                <w:b/>
                <w:bCs/>
              </w:rPr>
              <w:t xml:space="preserve">bushings are </w:t>
            </w:r>
            <w:r w:rsidR="00511970" w:rsidRPr="00966D96">
              <w:rPr>
                <w:b/>
                <w:bCs/>
              </w:rPr>
              <w:t>removable/non-erected</w:t>
            </w:r>
            <w:r w:rsidR="003148B5">
              <w:rPr>
                <w:b/>
                <w:bCs/>
              </w:rPr>
              <w:t xml:space="preserve"> </w:t>
            </w:r>
            <w:r w:rsidR="00511970">
              <w:rPr>
                <w:b/>
                <w:bCs/>
              </w:rPr>
              <w:t>/</w:t>
            </w:r>
            <w:r w:rsidR="003148B5">
              <w:rPr>
                <w:b/>
                <w:bCs/>
              </w:rPr>
              <w:t xml:space="preserve"> </w:t>
            </w:r>
            <w:r w:rsidR="00511970">
              <w:rPr>
                <w:b/>
                <w:bCs/>
              </w:rPr>
              <w:t>separately provided</w:t>
            </w:r>
            <w:r w:rsidRPr="00966D96">
              <w:rPr>
                <w:b/>
                <w:bCs/>
              </w:rPr>
              <w:t xml:space="preserve">, </w:t>
            </w:r>
            <w:r w:rsidR="00011761" w:rsidRPr="00966D96">
              <w:rPr>
                <w:b/>
                <w:bCs/>
              </w:rPr>
              <w:t xml:space="preserve">arrangement </w:t>
            </w:r>
            <w:r w:rsidR="00ED68B0" w:rsidRPr="00966D96">
              <w:rPr>
                <w:b/>
                <w:bCs/>
              </w:rPr>
              <w:t>for</w:t>
            </w:r>
            <w:r w:rsidR="00011761" w:rsidRPr="00966D96">
              <w:rPr>
                <w:b/>
                <w:bCs/>
              </w:rPr>
              <w:t xml:space="preserve"> transport of </w:t>
            </w:r>
            <w:r w:rsidR="00511970">
              <w:rPr>
                <w:b/>
                <w:bCs/>
              </w:rPr>
              <w:t xml:space="preserve">these </w:t>
            </w:r>
            <w:r w:rsidR="00011761" w:rsidRPr="00966D96">
              <w:rPr>
                <w:b/>
                <w:bCs/>
              </w:rPr>
              <w:t>bushings as a part of MGIS bay</w:t>
            </w:r>
            <w:r w:rsidR="00511970">
              <w:rPr>
                <w:b/>
                <w:bCs/>
              </w:rPr>
              <w:t xml:space="preserve"> shall be provided. </w:t>
            </w:r>
            <w:r w:rsidR="00011761" w:rsidRPr="00966D96">
              <w:rPr>
                <w:b/>
                <w:bCs/>
              </w:rPr>
              <w:t xml:space="preserve"> </w:t>
            </w:r>
          </w:p>
          <w:p w14:paraId="2B416898" w14:textId="77777777" w:rsidR="003148B5" w:rsidRDefault="003148B5" w:rsidP="00AA4E6D">
            <w:pPr>
              <w:jc w:val="both"/>
              <w:rPr>
                <w:b/>
                <w:bCs/>
              </w:rPr>
            </w:pPr>
          </w:p>
          <w:p w14:paraId="31896FB1" w14:textId="75C2C842" w:rsidR="00072900" w:rsidRPr="00966D96" w:rsidRDefault="00511970" w:rsidP="00AA4E6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011761" w:rsidRPr="00966D96">
              <w:rPr>
                <w:b/>
                <w:bCs/>
              </w:rPr>
              <w:t xml:space="preserve">dequate capacity gas handling plant </w:t>
            </w:r>
            <w:r>
              <w:rPr>
                <w:b/>
                <w:bCs/>
              </w:rPr>
              <w:t>to cater</w:t>
            </w:r>
            <w:r w:rsidR="00011761" w:rsidRPr="00966D96">
              <w:rPr>
                <w:b/>
                <w:bCs/>
              </w:rPr>
              <w:t xml:space="preserve"> site gas work </w:t>
            </w:r>
            <w:r>
              <w:rPr>
                <w:b/>
                <w:bCs/>
              </w:rPr>
              <w:t>during erection of bushing</w:t>
            </w:r>
            <w:r w:rsidR="00011761" w:rsidRPr="00966D96">
              <w:rPr>
                <w:b/>
                <w:bCs/>
              </w:rPr>
              <w:t xml:space="preserve"> for </w:t>
            </w:r>
            <w:r>
              <w:rPr>
                <w:b/>
                <w:bCs/>
              </w:rPr>
              <w:t xml:space="preserve">its </w:t>
            </w:r>
            <w:r w:rsidR="00011761" w:rsidRPr="00966D96">
              <w:rPr>
                <w:b/>
                <w:bCs/>
              </w:rPr>
              <w:t>service position</w:t>
            </w:r>
            <w:r>
              <w:rPr>
                <w:b/>
                <w:bCs/>
              </w:rPr>
              <w:t xml:space="preserve"> and</w:t>
            </w:r>
            <w:r w:rsidR="00011761" w:rsidRPr="00966D96">
              <w:rPr>
                <w:b/>
                <w:bCs/>
              </w:rPr>
              <w:t xml:space="preserve"> chain pulley arrangement </w:t>
            </w:r>
            <w:r w:rsidR="00ED68B0" w:rsidRPr="00966D96">
              <w:rPr>
                <w:b/>
                <w:bCs/>
              </w:rPr>
              <w:t xml:space="preserve">to handle busing erection at site shall </w:t>
            </w:r>
            <w:r>
              <w:rPr>
                <w:b/>
                <w:bCs/>
              </w:rPr>
              <w:t xml:space="preserve">also </w:t>
            </w:r>
            <w:r w:rsidR="00ED68B0" w:rsidRPr="00966D96">
              <w:rPr>
                <w:b/>
                <w:bCs/>
              </w:rPr>
              <w:t>be made part of MGIS bay.</w:t>
            </w:r>
            <w:bookmarkEnd w:id="0"/>
          </w:p>
        </w:tc>
      </w:tr>
      <w:tr w:rsidR="00501A75" w14:paraId="73BD8153" w14:textId="77777777" w:rsidTr="000A4B85">
        <w:trPr>
          <w:trHeight w:val="580"/>
        </w:trPr>
        <w:tc>
          <w:tcPr>
            <w:tcW w:w="1057" w:type="dxa"/>
          </w:tcPr>
          <w:p w14:paraId="3D7AF899" w14:textId="02D2B696" w:rsidR="00501A75" w:rsidRDefault="00801CAE" w:rsidP="00B94FCC">
            <w:pPr>
              <w:jc w:val="both"/>
            </w:pPr>
            <w:r>
              <w:t>2.</w:t>
            </w:r>
          </w:p>
        </w:tc>
        <w:tc>
          <w:tcPr>
            <w:tcW w:w="1915" w:type="dxa"/>
          </w:tcPr>
          <w:p w14:paraId="319FE9D7" w14:textId="450876B5" w:rsidR="00501A75" w:rsidRDefault="00801CAE" w:rsidP="00B94FCC">
            <w:pPr>
              <w:jc w:val="both"/>
            </w:pPr>
            <w:r>
              <w:t>Section Project 1 (p)</w:t>
            </w:r>
          </w:p>
        </w:tc>
        <w:tc>
          <w:tcPr>
            <w:tcW w:w="5812" w:type="dxa"/>
          </w:tcPr>
          <w:p w14:paraId="5EDAA8EE" w14:textId="12F8FE56" w:rsidR="00501A75" w:rsidRDefault="00801CAE" w:rsidP="00801CAE">
            <w:pPr>
              <w:jc w:val="both"/>
            </w:pPr>
            <w:r w:rsidRPr="00801CAE">
              <w:t xml:space="preserve">As mentioned above six nos. of bushings will remain pre-mounted during transportation of MGIS bay, suitable cantilever supports, temporary bracing </w:t>
            </w:r>
            <w:r w:rsidRPr="00801CAE">
              <w:lastRenderedPageBreak/>
              <w:t>necessary for projected portion of bushings shall also be provided.</w:t>
            </w:r>
          </w:p>
        </w:tc>
        <w:tc>
          <w:tcPr>
            <w:tcW w:w="5812" w:type="dxa"/>
          </w:tcPr>
          <w:p w14:paraId="78857302" w14:textId="2F95E2F9" w:rsidR="0030020B" w:rsidRPr="00966D96" w:rsidRDefault="00ED68B0" w:rsidP="00ED68B0">
            <w:pPr>
              <w:jc w:val="both"/>
              <w:rPr>
                <w:b/>
                <w:bCs/>
              </w:rPr>
            </w:pPr>
            <w:bookmarkStart w:id="1" w:name="_Hlk186731489"/>
            <w:r w:rsidRPr="00966D96">
              <w:rPr>
                <w:b/>
                <w:bCs/>
              </w:rPr>
              <w:lastRenderedPageBreak/>
              <w:t>For bushings fixing arrangement provided during transportation of MGIS bay, suitable cantilever supports, temporary bracing etc. necessary shall also be provided.</w:t>
            </w:r>
          </w:p>
          <w:bookmarkEnd w:id="1"/>
          <w:p w14:paraId="058FABC6" w14:textId="66B97E63" w:rsidR="00860797" w:rsidRDefault="00860797" w:rsidP="001B4E79"/>
        </w:tc>
      </w:tr>
      <w:tr w:rsidR="005B09C8" w14:paraId="0847A032" w14:textId="77777777" w:rsidTr="000A4B85">
        <w:trPr>
          <w:trHeight w:val="580"/>
        </w:trPr>
        <w:tc>
          <w:tcPr>
            <w:tcW w:w="1057" w:type="dxa"/>
          </w:tcPr>
          <w:p w14:paraId="2B5CD706" w14:textId="32A4EC2C" w:rsidR="005B09C8" w:rsidRDefault="005B09C8" w:rsidP="00B94FCC">
            <w:pPr>
              <w:jc w:val="both"/>
            </w:pPr>
            <w:r>
              <w:lastRenderedPageBreak/>
              <w:t>3.</w:t>
            </w:r>
          </w:p>
        </w:tc>
        <w:tc>
          <w:tcPr>
            <w:tcW w:w="1915" w:type="dxa"/>
          </w:tcPr>
          <w:p w14:paraId="23B1CB49" w14:textId="0F6E9D95" w:rsidR="005B09C8" w:rsidRDefault="005B09C8" w:rsidP="00B94FCC">
            <w:pPr>
              <w:jc w:val="both"/>
            </w:pPr>
            <w:r>
              <w:t>Section Project 1 (y)</w:t>
            </w:r>
          </w:p>
        </w:tc>
        <w:tc>
          <w:tcPr>
            <w:tcW w:w="5812" w:type="dxa"/>
          </w:tcPr>
          <w:p w14:paraId="76D07BA5" w14:textId="409DEB5E" w:rsidR="005B09C8" w:rsidRPr="00801CAE" w:rsidRDefault="00751035" w:rsidP="00801CAE">
            <w:pPr>
              <w:jc w:val="both"/>
            </w:pPr>
            <w:r w:rsidRPr="00751035">
              <w:t>It is planned to deploy the MGIS bay as and when required, without any gas work at the site. If there are any design or regulatory limitations in transporting the pressurized GIS/MTS Assembly, a small capacity, closed-circuit gas handling plant with gas storage facility as part of MGIS bay shall be provided to recover and refill the gas during transportation and deployment, respectively.</w:t>
            </w:r>
          </w:p>
        </w:tc>
        <w:tc>
          <w:tcPr>
            <w:tcW w:w="5812" w:type="dxa"/>
          </w:tcPr>
          <w:p w14:paraId="372457C3" w14:textId="575EAB12" w:rsidR="005B09C8" w:rsidRDefault="00ED68B0" w:rsidP="00ED68B0">
            <w:pPr>
              <w:jc w:val="both"/>
            </w:pPr>
            <w:r w:rsidRPr="00751035">
              <w:t xml:space="preserve">It is planned to deploy the MGIS bay as and when required, </w:t>
            </w:r>
            <w:r w:rsidRPr="00ED68B0">
              <w:rPr>
                <w:strike/>
              </w:rPr>
              <w:t>without any gas work at the site</w:t>
            </w:r>
            <w:r w:rsidRPr="00751035">
              <w:t>. If there are any design or regulatory limitations in transporting the pressurized GIS/MTS Assembly, a small capacity, closed-circuit gas handling plant with gas storage facility as part of MGIS bay shall be provided to recover and refill the gas during transportation and deployment, respectively.</w:t>
            </w:r>
          </w:p>
        </w:tc>
      </w:tr>
    </w:tbl>
    <w:p w14:paraId="42BD2766" w14:textId="77777777" w:rsidR="0036463B" w:rsidRDefault="0036463B" w:rsidP="0036463B">
      <w:pPr>
        <w:jc w:val="both"/>
      </w:pPr>
    </w:p>
    <w:sectPr w:rsidR="0036463B" w:rsidSect="00366FB8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CABC8" w14:textId="77777777" w:rsidR="0015716F" w:rsidRDefault="0015716F" w:rsidP="0015716F">
      <w:pPr>
        <w:spacing w:after="0" w:line="240" w:lineRule="auto"/>
      </w:pPr>
      <w:r>
        <w:separator/>
      </w:r>
    </w:p>
  </w:endnote>
  <w:endnote w:type="continuationSeparator" w:id="0">
    <w:p w14:paraId="2A0B5124" w14:textId="77777777" w:rsidR="0015716F" w:rsidRDefault="0015716F" w:rsidP="00157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D0A1" w14:textId="202092F9" w:rsidR="00CF23BF" w:rsidRDefault="00432859" w:rsidP="0043285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146F" w14:textId="77777777" w:rsidR="0015716F" w:rsidRDefault="0015716F" w:rsidP="0015716F">
      <w:pPr>
        <w:spacing w:after="0" w:line="240" w:lineRule="auto"/>
      </w:pPr>
      <w:r>
        <w:separator/>
      </w:r>
    </w:p>
  </w:footnote>
  <w:footnote w:type="continuationSeparator" w:id="0">
    <w:p w14:paraId="4CB013CB" w14:textId="77777777" w:rsidR="0015716F" w:rsidRDefault="0015716F" w:rsidP="00157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8DF4" w14:textId="2CCFAE8A" w:rsidR="0015716F" w:rsidRPr="00CF23BF" w:rsidRDefault="00CF23BF" w:rsidP="00CF23BF">
    <w:pPr>
      <w:pStyle w:val="Header"/>
      <w:jc w:val="both"/>
      <w:rPr>
        <w:rFonts w:ascii="Book Antiqua" w:hAnsi="Book Antiqua"/>
      </w:rPr>
    </w:pPr>
    <w:r w:rsidRPr="00CF23BF">
      <w:rPr>
        <w:rFonts w:ascii="Book Antiqua" w:hAnsi="Book Antiqua"/>
      </w:rPr>
      <w:t>Amendment</w:t>
    </w:r>
    <w:r>
      <w:rPr>
        <w:rFonts w:ascii="Book Antiqua" w:hAnsi="Book Antiqua"/>
      </w:rPr>
      <w:t xml:space="preserve"> No.</w:t>
    </w:r>
    <w:r w:rsidRPr="00CF23BF">
      <w:rPr>
        <w:rFonts w:ascii="Book Antiqua" w:hAnsi="Book Antiqua"/>
      </w:rPr>
      <w:t xml:space="preserve"> – </w:t>
    </w:r>
    <w:r>
      <w:rPr>
        <w:rFonts w:ascii="Book Antiqua" w:hAnsi="Book Antiqua"/>
      </w:rPr>
      <w:t>3</w:t>
    </w:r>
    <w:r w:rsidRPr="00CF23BF">
      <w:rPr>
        <w:rFonts w:ascii="Book Antiqua" w:hAnsi="Book Antiqua"/>
      </w:rPr>
      <w:t xml:space="preserve"> dated </w:t>
    </w:r>
    <w:r w:rsidR="001556A9">
      <w:rPr>
        <w:rFonts w:ascii="Book Antiqua" w:hAnsi="Book Antiqua"/>
      </w:rPr>
      <w:t>07</w:t>
    </w:r>
    <w:r w:rsidRPr="00CF23BF">
      <w:rPr>
        <w:rFonts w:ascii="Book Antiqua" w:hAnsi="Book Antiqua"/>
      </w:rPr>
      <w:t>/</w:t>
    </w:r>
    <w:r>
      <w:rPr>
        <w:rFonts w:ascii="Book Antiqua" w:hAnsi="Book Antiqua"/>
      </w:rPr>
      <w:t>01</w:t>
    </w:r>
    <w:r w:rsidRPr="00CF23BF">
      <w:rPr>
        <w:rFonts w:ascii="Book Antiqua" w:hAnsi="Book Antiqua"/>
      </w:rPr>
      <w:t>/202</w:t>
    </w:r>
    <w:r>
      <w:rPr>
        <w:rFonts w:ascii="Book Antiqua" w:hAnsi="Book Antiqua"/>
      </w:rPr>
      <w:t>5</w:t>
    </w:r>
    <w:r w:rsidRPr="00CF23BF">
      <w:rPr>
        <w:rFonts w:ascii="Book Antiqua" w:hAnsi="Book Antiqua"/>
      </w:rPr>
      <w:t xml:space="preserve"> to the bidding documents of 400kV Mobile GIS Substation Extn. Package: MGIS131 for Procurement of 01 No.400kV Mobile GIS Bay along with CRP, Auxiliary system etc. under Technology Development. Spec. No.: CC/NT/W-GIS/DOM/A00/24/12552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E9"/>
    <w:rsid w:val="00011761"/>
    <w:rsid w:val="00016750"/>
    <w:rsid w:val="000415DF"/>
    <w:rsid w:val="00072900"/>
    <w:rsid w:val="000A4B85"/>
    <w:rsid w:val="00113AC0"/>
    <w:rsid w:val="00135AA2"/>
    <w:rsid w:val="001556A9"/>
    <w:rsid w:val="0015716F"/>
    <w:rsid w:val="001B4E79"/>
    <w:rsid w:val="001D5557"/>
    <w:rsid w:val="0030020B"/>
    <w:rsid w:val="00301DD6"/>
    <w:rsid w:val="003148B5"/>
    <w:rsid w:val="00332D41"/>
    <w:rsid w:val="00346FBC"/>
    <w:rsid w:val="00360BDA"/>
    <w:rsid w:val="0036463B"/>
    <w:rsid w:val="00366FB8"/>
    <w:rsid w:val="003A54D5"/>
    <w:rsid w:val="003A6492"/>
    <w:rsid w:val="003D6D09"/>
    <w:rsid w:val="003E14BF"/>
    <w:rsid w:val="003E538E"/>
    <w:rsid w:val="00432859"/>
    <w:rsid w:val="00501A75"/>
    <w:rsid w:val="00511970"/>
    <w:rsid w:val="00515051"/>
    <w:rsid w:val="00563A83"/>
    <w:rsid w:val="00573BCA"/>
    <w:rsid w:val="005B09C8"/>
    <w:rsid w:val="005C7FED"/>
    <w:rsid w:val="006B66CD"/>
    <w:rsid w:val="006D24FE"/>
    <w:rsid w:val="00751035"/>
    <w:rsid w:val="00792C7B"/>
    <w:rsid w:val="00797D82"/>
    <w:rsid w:val="007C336F"/>
    <w:rsid w:val="007D2583"/>
    <w:rsid w:val="007F385E"/>
    <w:rsid w:val="00801CAE"/>
    <w:rsid w:val="00860797"/>
    <w:rsid w:val="008B6667"/>
    <w:rsid w:val="008C33DF"/>
    <w:rsid w:val="00917193"/>
    <w:rsid w:val="0091753D"/>
    <w:rsid w:val="00960BBD"/>
    <w:rsid w:val="00966D96"/>
    <w:rsid w:val="00AA47FC"/>
    <w:rsid w:val="00AA4E6D"/>
    <w:rsid w:val="00AA7D4C"/>
    <w:rsid w:val="00AB7D6E"/>
    <w:rsid w:val="00AD5140"/>
    <w:rsid w:val="00AF17A8"/>
    <w:rsid w:val="00B16AAB"/>
    <w:rsid w:val="00B94FCC"/>
    <w:rsid w:val="00BA67DF"/>
    <w:rsid w:val="00BA7E61"/>
    <w:rsid w:val="00CE5FA6"/>
    <w:rsid w:val="00CF23BF"/>
    <w:rsid w:val="00E03F0E"/>
    <w:rsid w:val="00E4603C"/>
    <w:rsid w:val="00E80FE9"/>
    <w:rsid w:val="00E836EB"/>
    <w:rsid w:val="00ED68B0"/>
    <w:rsid w:val="00ED7C4A"/>
    <w:rsid w:val="00EF1565"/>
    <w:rsid w:val="00F72137"/>
    <w:rsid w:val="00F90407"/>
    <w:rsid w:val="00FE7D5F"/>
    <w:rsid w:val="00FF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C8668"/>
  <w15:chartTrackingRefBased/>
  <w15:docId w15:val="{01FC7116-3B51-4D97-AEA2-A7600B6F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FE9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FE9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FE9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F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F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F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F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F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F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E80FE9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E80FE9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E80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FE9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F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F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FE9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F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D5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7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16F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157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16F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Akhil Sundaran {अखिल सुन्‍दरन}</dc:creator>
  <cp:keywords/>
  <dc:description/>
  <cp:lastModifiedBy>Umesh Kumar Yadav {उमेश कुमार यादव}</cp:lastModifiedBy>
  <cp:revision>8</cp:revision>
  <dcterms:created xsi:type="dcterms:W3CDTF">2025-01-03T06:38:00Z</dcterms:created>
  <dcterms:modified xsi:type="dcterms:W3CDTF">2025-01-07T11:47:00Z</dcterms:modified>
</cp:coreProperties>
</file>