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4534A" w14:textId="77777777" w:rsidR="004437C9" w:rsidRPr="00240D0E" w:rsidRDefault="004437C9" w:rsidP="004437C9">
      <w:pPr>
        <w:jc w:val="both"/>
        <w:rPr>
          <w:rFonts w:ascii="Book Antiqua" w:hAnsi="Book Antiqua" w:cs="Nirmala UI"/>
          <w:b/>
          <w:bCs/>
          <w:color w:val="0000FF"/>
          <w:sz w:val="24"/>
          <w:lang w:eastAsia="en-IN"/>
        </w:rPr>
      </w:pPr>
      <w:r w:rsidRPr="00240D0E">
        <w:rPr>
          <w:rFonts w:ascii="Book Antiqua" w:hAnsi="Book Antiqua" w:cs="Nirmala UI"/>
          <w:b/>
          <w:bCs/>
          <w:color w:val="0000FF"/>
          <w:sz w:val="24"/>
        </w:rPr>
        <w:t xml:space="preserve">Diversion of following Lines to facilitate the construction of Railway BG line from Ginigera to Raichur by SWR, Hubli under Raichur TLM </w:t>
      </w:r>
      <w:r w:rsidRPr="00240D0E">
        <w:rPr>
          <w:rFonts w:ascii="Book Antiqua" w:hAnsi="Book Antiqua" w:cs="Nirmala UI"/>
          <w:b/>
          <w:bCs/>
          <w:color w:val="0000FF"/>
          <w:sz w:val="24"/>
          <w:lang w:eastAsia="en-IN"/>
        </w:rPr>
        <w:t>in SR-1 (Deposit work On Behalf of SWR):</w:t>
      </w:r>
    </w:p>
    <w:p w14:paraId="30BC0285" w14:textId="77777777" w:rsidR="004437C9" w:rsidRPr="00240D0E" w:rsidRDefault="004437C9" w:rsidP="004437C9">
      <w:pPr>
        <w:pStyle w:val="NormalWeb"/>
        <w:spacing w:before="0" w:beforeAutospacing="0" w:after="0" w:afterAutospacing="0"/>
        <w:jc w:val="both"/>
        <w:rPr>
          <w:rFonts w:ascii="Book Antiqua" w:hAnsi="Book Antiqua" w:cs="Nirmala UI"/>
          <w:b/>
          <w:bCs/>
          <w:color w:val="0000FF"/>
          <w:lang w:bidi="hi-IN"/>
        </w:rPr>
      </w:pPr>
      <w:r w:rsidRPr="00240D0E">
        <w:rPr>
          <w:rFonts w:ascii="Book Antiqua" w:hAnsi="Book Antiqua" w:cs="Nirmala UI"/>
          <w:b/>
          <w:bCs/>
          <w:color w:val="0000FF"/>
          <w:lang w:bidi="hi-IN"/>
        </w:rPr>
        <w:t>Package-A-</w:t>
      </w:r>
      <w:r w:rsidRPr="00240D0E">
        <w:rPr>
          <w:rFonts w:ascii="Book Antiqua" w:hAnsi="Book Antiqua" w:cs="Nirmala UI"/>
          <w:b/>
          <w:bCs/>
          <w:color w:val="0000FF"/>
          <w:lang w:bidi="hi-IN"/>
        </w:rPr>
        <w:tab/>
        <w:t xml:space="preserve">400 kV RTPS-Munirabad S/C Line (Loc No: 147-151)  </w:t>
      </w:r>
    </w:p>
    <w:p w14:paraId="37B96A7B" w14:textId="77777777" w:rsidR="004437C9" w:rsidRPr="00240D0E" w:rsidRDefault="004437C9" w:rsidP="004437C9">
      <w:pPr>
        <w:pStyle w:val="NormalWeb"/>
        <w:spacing w:before="0" w:beforeAutospacing="0" w:after="0" w:afterAutospacing="0"/>
        <w:jc w:val="both"/>
        <w:rPr>
          <w:rFonts w:ascii="Book Antiqua" w:hAnsi="Book Antiqua" w:cs="Nirmala UI"/>
          <w:b/>
          <w:bCs/>
          <w:color w:val="0000FF"/>
          <w:lang w:bidi="hi-IN"/>
        </w:rPr>
      </w:pPr>
      <w:r w:rsidRPr="00240D0E">
        <w:rPr>
          <w:rFonts w:ascii="Book Antiqua" w:hAnsi="Book Antiqua" w:cs="Nirmala UI"/>
          <w:b/>
          <w:bCs/>
          <w:color w:val="0000FF"/>
          <w:lang w:bidi="hi-IN"/>
        </w:rPr>
        <w:t>Package-B- 765 kV Raichur-Kurnool Ckt-01 Line (Loc No: 305-308)</w:t>
      </w:r>
    </w:p>
    <w:p w14:paraId="5F36B312" w14:textId="77777777" w:rsidR="004437C9" w:rsidRPr="00240D0E" w:rsidRDefault="004437C9" w:rsidP="004437C9">
      <w:pPr>
        <w:pStyle w:val="NormalWeb"/>
        <w:spacing w:before="0" w:beforeAutospacing="0" w:after="0" w:afterAutospacing="0"/>
        <w:jc w:val="both"/>
        <w:rPr>
          <w:rFonts w:ascii="Book Antiqua" w:hAnsi="Book Antiqua" w:cs="Nirmala UI"/>
          <w:b/>
          <w:bCs/>
          <w:color w:val="0000FF"/>
          <w:lang w:bidi="hi-IN"/>
        </w:rPr>
      </w:pPr>
      <w:r w:rsidRPr="00240D0E">
        <w:rPr>
          <w:rFonts w:ascii="Book Antiqua" w:hAnsi="Book Antiqua" w:cs="Nirmala UI"/>
          <w:b/>
          <w:bCs/>
          <w:color w:val="0000FF"/>
          <w:lang w:val="en-US" w:bidi="hi-IN"/>
        </w:rPr>
        <w:t xml:space="preserve">Package-C- </w:t>
      </w:r>
      <w:r w:rsidRPr="00240D0E">
        <w:rPr>
          <w:rFonts w:ascii="Book Antiqua" w:hAnsi="Book Antiqua" w:cs="Nirmala UI"/>
          <w:b/>
          <w:bCs/>
          <w:color w:val="0000FF"/>
          <w:lang w:bidi="hi-IN"/>
        </w:rPr>
        <w:t>765 kV Raichur-Kurnool Ckt-02 Line (Loc No: 283-286)</w:t>
      </w:r>
    </w:p>
    <w:p w14:paraId="508090D4" w14:textId="77777777" w:rsidR="004437C9" w:rsidRPr="00240D0E" w:rsidRDefault="004437C9" w:rsidP="004437C9">
      <w:pPr>
        <w:pStyle w:val="NormalWeb"/>
        <w:spacing w:before="0" w:beforeAutospacing="0" w:after="0" w:afterAutospacing="0"/>
        <w:jc w:val="both"/>
        <w:rPr>
          <w:rFonts w:ascii="Book Antiqua" w:hAnsi="Book Antiqua" w:cs="Nirmala UI"/>
          <w:b/>
          <w:bCs/>
          <w:color w:val="0000FF"/>
          <w:lang w:val="en-US" w:bidi="hi-IN"/>
        </w:rPr>
      </w:pPr>
      <w:r w:rsidRPr="00240D0E">
        <w:rPr>
          <w:rFonts w:ascii="Book Antiqua" w:hAnsi="Book Antiqua" w:cs="Nirmala UI"/>
          <w:b/>
          <w:bCs/>
          <w:color w:val="0000FF"/>
          <w:lang w:bidi="hi-IN"/>
        </w:rPr>
        <w:t xml:space="preserve">Package-D- </w:t>
      </w:r>
      <w:r w:rsidRPr="00240D0E">
        <w:rPr>
          <w:rFonts w:ascii="Book Antiqua" w:hAnsi="Book Antiqua" w:cs="Nirmala UI"/>
          <w:b/>
          <w:bCs/>
          <w:color w:val="0000FF"/>
          <w:lang w:val="en-US" w:bidi="hi-IN"/>
        </w:rPr>
        <w:t xml:space="preserve">400 kV Raichur-Gooty D/C </w:t>
      </w:r>
      <w:r w:rsidRPr="00240D0E">
        <w:rPr>
          <w:rFonts w:ascii="Book Antiqua" w:hAnsi="Book Antiqua" w:cs="Nirmala UI"/>
          <w:b/>
          <w:bCs/>
          <w:color w:val="0000FF"/>
          <w:lang w:bidi="hi-IN"/>
        </w:rPr>
        <w:t>Line</w:t>
      </w:r>
      <w:r w:rsidRPr="00240D0E">
        <w:rPr>
          <w:rFonts w:ascii="Book Antiqua" w:hAnsi="Book Antiqua" w:cs="Nirmala UI"/>
          <w:b/>
          <w:bCs/>
          <w:color w:val="0000FF"/>
          <w:lang w:val="en-US" w:bidi="hi-IN"/>
        </w:rPr>
        <w:t xml:space="preserve"> (Loc No: 62-65)</w:t>
      </w:r>
    </w:p>
    <w:p w14:paraId="6F41064E" w14:textId="77777777" w:rsidR="004437C9" w:rsidRDefault="004437C9" w:rsidP="004437C9">
      <w:pPr>
        <w:pStyle w:val="NormalWeb"/>
        <w:ind w:left="1440" w:hanging="1440"/>
        <w:jc w:val="both"/>
        <w:rPr>
          <w:rFonts w:ascii="Book Antiqua" w:hAnsi="Book Antiqua"/>
          <w:b/>
          <w:bCs/>
        </w:rPr>
      </w:pPr>
      <w:r w:rsidRPr="007F2586">
        <w:rPr>
          <w:rFonts w:ascii="Book Antiqua" w:hAnsi="Book Antiqua"/>
          <w:b/>
          <w:bCs/>
        </w:rPr>
        <w:t xml:space="preserve">- against Specification No: </w:t>
      </w:r>
      <w:bookmarkStart w:id="0" w:name="_Hlk175051206"/>
    </w:p>
    <w:p w14:paraId="2C9BD0C1" w14:textId="77777777" w:rsidR="004437C9" w:rsidRDefault="004437C9" w:rsidP="004437C9">
      <w:pPr>
        <w:pStyle w:val="NormalWeb"/>
        <w:spacing w:before="0" w:beforeAutospacing="0" w:after="0" w:afterAutospacing="0"/>
        <w:ind w:left="1440" w:hanging="1440"/>
        <w:jc w:val="both"/>
        <w:rPr>
          <w:rFonts w:ascii="Book Antiqua" w:hAnsi="Book Antiqua" w:cs="Nirmala UI"/>
          <w:b/>
          <w:bCs/>
          <w:color w:val="0000FF"/>
          <w:lang w:bidi="hi-IN"/>
        </w:rPr>
      </w:pPr>
      <w:r w:rsidRPr="003869C3">
        <w:rPr>
          <w:rFonts w:ascii="Book Antiqua" w:hAnsi="Book Antiqua" w:cs="Nirmala UI"/>
          <w:b/>
          <w:bCs/>
          <w:color w:val="0000FF"/>
          <w:lang w:bidi="hi-IN"/>
        </w:rPr>
        <w:t>Package-A- Specification No: SR-I/C&amp;M/WC-4170-A/2025/Rfx-500200</w:t>
      </w:r>
      <w:r>
        <w:rPr>
          <w:rFonts w:ascii="Book Antiqua" w:hAnsi="Book Antiqua" w:cs="Nirmala UI"/>
          <w:b/>
          <w:bCs/>
          <w:color w:val="0000FF"/>
          <w:lang w:bidi="hi-IN"/>
        </w:rPr>
        <w:t>4565 (</w:t>
      </w:r>
      <w:r w:rsidRPr="00B605A8">
        <w:rPr>
          <w:rFonts w:ascii="Book Antiqua" w:hAnsi="Book Antiqua" w:cs="Nirmala UI"/>
          <w:b/>
          <w:bCs/>
          <w:color w:val="0000FF"/>
          <w:lang w:val="en-US" w:bidi="hi-IN"/>
        </w:rPr>
        <w:t>SR1/NT/W-TW/DOM/B00/25/08378</w:t>
      </w:r>
      <w:r>
        <w:rPr>
          <w:rFonts w:ascii="Book Antiqua" w:hAnsi="Book Antiqua" w:cs="Nirmala UI"/>
          <w:b/>
          <w:bCs/>
          <w:color w:val="0000FF"/>
          <w:lang w:bidi="hi-IN"/>
        </w:rPr>
        <w:t>)</w:t>
      </w:r>
    </w:p>
    <w:p w14:paraId="70A43DAC" w14:textId="77777777" w:rsidR="004437C9" w:rsidRPr="00332327" w:rsidRDefault="004437C9" w:rsidP="004437C9">
      <w:pPr>
        <w:pStyle w:val="NormalWeb"/>
        <w:spacing w:after="0" w:afterAutospacing="0"/>
        <w:ind w:left="1440" w:hanging="1440"/>
        <w:jc w:val="both"/>
        <w:rPr>
          <w:rFonts w:ascii="Book Antiqua" w:hAnsi="Book Antiqua" w:cs="Nirmala UI"/>
          <w:b/>
          <w:bCs/>
          <w:color w:val="0000FF"/>
          <w:lang w:bidi="hi-IN"/>
        </w:rPr>
      </w:pPr>
      <w:r w:rsidRPr="003869C3">
        <w:rPr>
          <w:rFonts w:ascii="Book Antiqua" w:hAnsi="Book Antiqua" w:cs="Nirmala UI"/>
          <w:b/>
          <w:bCs/>
          <w:color w:val="0000FF"/>
          <w:lang w:bidi="hi-IN"/>
        </w:rPr>
        <w:t>Package-B- Specification No: SR-I/C&amp;M/WC-4170-B/2025/Rfx-500200</w:t>
      </w:r>
      <w:r>
        <w:rPr>
          <w:rFonts w:ascii="Book Antiqua" w:hAnsi="Book Antiqua" w:cs="Nirmala UI"/>
          <w:b/>
          <w:bCs/>
          <w:color w:val="0000FF"/>
          <w:lang w:bidi="hi-IN"/>
        </w:rPr>
        <w:t>4566 (</w:t>
      </w:r>
      <w:r w:rsidRPr="00332327">
        <w:rPr>
          <w:rFonts w:ascii="Book Antiqua" w:hAnsi="Book Antiqua" w:cs="Nirmala UI"/>
          <w:b/>
          <w:bCs/>
          <w:color w:val="0000FF"/>
          <w:lang w:val="en-US" w:bidi="hi-IN"/>
        </w:rPr>
        <w:t>SR1/NT/W-TW/DOM/B00/25/08380</w:t>
      </w:r>
      <w:r>
        <w:rPr>
          <w:rFonts w:ascii="Book Antiqua" w:hAnsi="Book Antiqua" w:cs="Nirmala UI"/>
          <w:b/>
          <w:bCs/>
          <w:color w:val="0000FF"/>
          <w:lang w:bidi="hi-IN"/>
        </w:rPr>
        <w:t>)</w:t>
      </w:r>
    </w:p>
    <w:p w14:paraId="67DEED36" w14:textId="77777777" w:rsidR="004437C9" w:rsidRPr="003869C3" w:rsidRDefault="004437C9" w:rsidP="004437C9">
      <w:pPr>
        <w:pStyle w:val="NormalWeb"/>
        <w:spacing w:before="0" w:beforeAutospacing="0" w:after="0" w:afterAutospacing="0"/>
        <w:ind w:left="1440" w:hanging="1440"/>
        <w:jc w:val="both"/>
        <w:rPr>
          <w:rFonts w:ascii="Book Antiqua" w:hAnsi="Book Antiqua" w:cs="Nirmala UI"/>
          <w:b/>
          <w:bCs/>
          <w:color w:val="0000FF"/>
          <w:lang w:bidi="hi-IN"/>
        </w:rPr>
      </w:pPr>
      <w:r w:rsidRPr="003869C3">
        <w:rPr>
          <w:rFonts w:ascii="Book Antiqua" w:hAnsi="Book Antiqua" w:cs="Nirmala UI"/>
          <w:b/>
          <w:bCs/>
          <w:color w:val="0000FF"/>
          <w:lang w:val="en-US" w:bidi="hi-IN"/>
        </w:rPr>
        <w:t xml:space="preserve">Package-C- </w:t>
      </w:r>
      <w:r w:rsidRPr="003869C3">
        <w:rPr>
          <w:rFonts w:ascii="Book Antiqua" w:hAnsi="Book Antiqua" w:cs="Nirmala UI"/>
          <w:b/>
          <w:bCs/>
          <w:color w:val="0000FF"/>
          <w:lang w:bidi="hi-IN"/>
        </w:rPr>
        <w:t>Specification No: SR-I/C&amp;M/WC-4170-C/2025/Rfx-500200</w:t>
      </w:r>
      <w:r>
        <w:rPr>
          <w:rFonts w:ascii="Book Antiqua" w:hAnsi="Book Antiqua" w:cs="Nirmala UI"/>
          <w:b/>
          <w:bCs/>
          <w:color w:val="0000FF"/>
          <w:lang w:bidi="hi-IN"/>
        </w:rPr>
        <w:t>4567 (</w:t>
      </w:r>
      <w:r w:rsidRPr="007800B6">
        <w:rPr>
          <w:rFonts w:ascii="Book Antiqua" w:hAnsi="Book Antiqua" w:cs="Nirmala UI"/>
          <w:b/>
          <w:bCs/>
          <w:color w:val="0000FF"/>
          <w:lang w:bidi="hi-IN"/>
        </w:rPr>
        <w:t>SR1/NT/W-TW/DOM/B00/25/08381</w:t>
      </w:r>
    </w:p>
    <w:p w14:paraId="6E3F2906" w14:textId="77777777" w:rsidR="004437C9" w:rsidRPr="003869C3" w:rsidRDefault="004437C9" w:rsidP="004437C9">
      <w:pPr>
        <w:pStyle w:val="NormalWeb"/>
        <w:spacing w:before="0" w:beforeAutospacing="0" w:after="0" w:afterAutospacing="0"/>
        <w:ind w:left="1440" w:hanging="1440"/>
        <w:jc w:val="both"/>
        <w:rPr>
          <w:rFonts w:ascii="Book Antiqua" w:hAnsi="Book Antiqua" w:cs="Nirmala UI"/>
          <w:b/>
          <w:bCs/>
          <w:color w:val="0000FF"/>
          <w:lang w:val="en-US" w:bidi="hi-IN"/>
        </w:rPr>
      </w:pPr>
      <w:r w:rsidRPr="003869C3">
        <w:rPr>
          <w:rFonts w:ascii="Book Antiqua" w:hAnsi="Book Antiqua" w:cs="Nirmala UI"/>
          <w:b/>
          <w:bCs/>
          <w:color w:val="0000FF"/>
          <w:lang w:bidi="hi-IN"/>
        </w:rPr>
        <w:t>Package-D- Specification No: SR-I/C&amp;M/WC-4170-D/2025/Rfx-500200</w:t>
      </w:r>
      <w:r>
        <w:rPr>
          <w:rFonts w:ascii="Book Antiqua" w:hAnsi="Book Antiqua" w:cs="Nirmala UI"/>
          <w:b/>
          <w:bCs/>
          <w:color w:val="0000FF"/>
          <w:lang w:bidi="hi-IN"/>
        </w:rPr>
        <w:t>4568 (</w:t>
      </w:r>
      <w:r w:rsidRPr="007800B6">
        <w:rPr>
          <w:rFonts w:ascii="Book Antiqua" w:hAnsi="Book Antiqua" w:cs="Nirmala UI"/>
          <w:b/>
          <w:bCs/>
          <w:color w:val="0000FF"/>
          <w:lang w:bidi="hi-IN"/>
        </w:rPr>
        <w:t>SR1/NT/W-TW/DOM/B00/25/08382</w:t>
      </w:r>
      <w:r>
        <w:rPr>
          <w:rFonts w:ascii="Book Antiqua" w:hAnsi="Book Antiqua" w:cs="Nirmala UI"/>
          <w:b/>
          <w:bCs/>
          <w:color w:val="0000FF"/>
          <w:lang w:bidi="hi-IN"/>
        </w:rPr>
        <w:t>)</w:t>
      </w:r>
    </w:p>
    <w:bookmarkEnd w:id="0"/>
    <w:p w14:paraId="7901CD96" w14:textId="77777777" w:rsidR="004437C9" w:rsidRDefault="004437C9" w:rsidP="005E5ABB">
      <w:pPr>
        <w:pStyle w:val="Default"/>
        <w:ind w:left="702" w:hanging="702"/>
        <w:jc w:val="center"/>
        <w:rPr>
          <w:rFonts w:ascii="Tisa Offc Serif Pro" w:hAnsi="Tisa Offc Serif Pro" w:cs="Arial"/>
          <w:sz w:val="22"/>
          <w:szCs w:val="22"/>
        </w:rPr>
      </w:pPr>
    </w:p>
    <w:p w14:paraId="59108F9B" w14:textId="7F80531F" w:rsidR="006C0C9A" w:rsidRPr="005E5ABB" w:rsidRDefault="006C0C9A" w:rsidP="005E5ABB">
      <w:pPr>
        <w:pStyle w:val="Default"/>
        <w:ind w:left="702" w:hanging="702"/>
        <w:jc w:val="center"/>
        <w:rPr>
          <w:rFonts w:ascii="Tisa Offc Serif Pro" w:hAnsi="Tisa Offc Serif Pro" w:cs="Arial"/>
          <w:b/>
          <w:bCs/>
          <w:sz w:val="22"/>
          <w:szCs w:val="22"/>
        </w:rPr>
      </w:pPr>
      <w:r w:rsidRPr="005E5ABB">
        <w:rPr>
          <w:rFonts w:ascii="Tisa Offc Serif Pro" w:hAnsi="Tisa Offc Serif Pro" w:cs="Arial"/>
          <w:sz w:val="22"/>
          <w:szCs w:val="22"/>
        </w:rPr>
        <w:t>(</w:t>
      </w:r>
      <w:r w:rsidR="00505FC0" w:rsidRPr="005E5ABB">
        <w:rPr>
          <w:rFonts w:ascii="Tisa Offc Serif Pro" w:hAnsi="Tisa Offc Serif Pro" w:cs="Arial"/>
          <w:b/>
          <w:bCs/>
          <w:sz w:val="22"/>
          <w:szCs w:val="22"/>
        </w:rPr>
        <w:t>Declaration by the bidder for ‘Code of Integrity for Public procurement’</w:t>
      </w:r>
      <w:r w:rsidRPr="005E5ABB">
        <w:rPr>
          <w:rFonts w:ascii="Tisa Offc Serif Pro" w:hAnsi="Tisa Offc Serif Pro" w:cs="Arial"/>
          <w:b/>
          <w:bCs/>
          <w:sz w:val="22"/>
          <w:szCs w:val="22"/>
        </w:rPr>
        <w:t>)</w:t>
      </w:r>
    </w:p>
    <w:p w14:paraId="60DE0F77" w14:textId="77777777" w:rsidR="00732F58" w:rsidRPr="005E5ABB" w:rsidRDefault="00732F58" w:rsidP="00C22820">
      <w:pPr>
        <w:pStyle w:val="Default"/>
        <w:ind w:left="702" w:hanging="702"/>
        <w:jc w:val="center"/>
        <w:rPr>
          <w:rFonts w:ascii="Tisa Offc Serif Pro" w:hAnsi="Tisa Offc Serif Pro" w:cs="Arial"/>
          <w:b/>
          <w:bCs/>
          <w:sz w:val="22"/>
          <w:szCs w:val="22"/>
        </w:rPr>
      </w:pPr>
    </w:p>
    <w:tbl>
      <w:tblPr>
        <w:tblW w:w="9216" w:type="dxa"/>
        <w:tblInd w:w="108" w:type="dxa"/>
        <w:tblLook w:val="04A0" w:firstRow="1" w:lastRow="0" w:firstColumn="1" w:lastColumn="0" w:noHBand="0" w:noVBand="1"/>
      </w:tblPr>
      <w:tblGrid>
        <w:gridCol w:w="4820"/>
        <w:gridCol w:w="4396"/>
      </w:tblGrid>
      <w:tr w:rsidR="008B0D63" w:rsidRPr="005E5ABB" w14:paraId="4BE0F3A1" w14:textId="77777777" w:rsidTr="008B0D63">
        <w:trPr>
          <w:trHeight w:val="2717"/>
        </w:trPr>
        <w:tc>
          <w:tcPr>
            <w:tcW w:w="4820" w:type="dxa"/>
            <w:noWrap/>
            <w:hideMark/>
          </w:tcPr>
          <w:p w14:paraId="17C97C04" w14:textId="2EB8E3C2" w:rsidR="008B0D63" w:rsidRPr="005E5ABB" w:rsidRDefault="008B0D63" w:rsidP="00B64E06">
            <w:pPr>
              <w:spacing w:after="0" w:line="240" w:lineRule="auto"/>
              <w:rPr>
                <w:rFonts w:ascii="Tisa Offc Serif Pro" w:eastAsia="Times New Roman" w:hAnsi="Tisa Offc Serif Pro" w:cs="Arial"/>
                <w:b/>
                <w:bCs/>
                <w:szCs w:val="22"/>
                <w:lang w:eastAsia="en-IN"/>
              </w:rPr>
            </w:pPr>
            <w:r w:rsidRPr="005E5ABB">
              <w:rPr>
                <w:rFonts w:ascii="Tisa Offc Serif Pro" w:eastAsia="Times New Roman" w:hAnsi="Tisa Offc Serif Pro" w:cs="Arial"/>
                <w:b/>
                <w:bCs/>
                <w:szCs w:val="22"/>
                <w:lang w:eastAsia="en-IN"/>
              </w:rPr>
              <w:t>Bidder’s Name and Address:</w:t>
            </w:r>
          </w:p>
          <w:p w14:paraId="77A850A6" w14:textId="77777777" w:rsidR="008B0D63" w:rsidRPr="005E5ABB" w:rsidRDefault="008B0D63" w:rsidP="00B64E06">
            <w:pPr>
              <w:spacing w:after="0" w:line="240" w:lineRule="auto"/>
              <w:rPr>
                <w:rFonts w:ascii="Tisa Offc Serif Pro" w:eastAsia="Times New Roman" w:hAnsi="Tisa Offc Serif Pro" w:cs="Arial"/>
                <w:b/>
                <w:bCs/>
                <w:szCs w:val="22"/>
                <w:lang w:eastAsia="en-IN"/>
              </w:rPr>
            </w:pPr>
          </w:p>
          <w:p w14:paraId="27A75BB4" w14:textId="05F8732A" w:rsidR="008B0D63" w:rsidRPr="005E5ABB" w:rsidRDefault="008B0D63" w:rsidP="00B64E06">
            <w:pPr>
              <w:spacing w:after="0" w:line="240" w:lineRule="auto"/>
              <w:rPr>
                <w:rFonts w:ascii="Tisa Offc Serif Pro" w:eastAsia="Times New Roman" w:hAnsi="Tisa Offc Serif Pro" w:cs="Arial"/>
                <w:b/>
                <w:bCs/>
                <w:szCs w:val="22"/>
                <w:lang w:eastAsia="en-IN"/>
              </w:rPr>
            </w:pPr>
            <w:r w:rsidRPr="005E5ABB">
              <w:rPr>
                <w:rFonts w:ascii="Tisa Offc Serif Pro" w:eastAsia="Times New Roman" w:hAnsi="Tisa Offc Serif Pro" w:cs="Arial"/>
                <w:b/>
                <w:bCs/>
                <w:szCs w:val="22"/>
                <w:lang w:eastAsia="en-IN"/>
              </w:rPr>
              <w:t>Name:</w:t>
            </w:r>
          </w:p>
          <w:p w14:paraId="7BB5CFDA" w14:textId="77777777" w:rsidR="008B0D63" w:rsidRPr="005E5ABB" w:rsidRDefault="008B0D63" w:rsidP="00B64E06">
            <w:pPr>
              <w:spacing w:after="0" w:line="240" w:lineRule="auto"/>
              <w:rPr>
                <w:rFonts w:ascii="Tisa Offc Serif Pro" w:eastAsia="Times New Roman" w:hAnsi="Tisa Offc Serif Pro" w:cs="Arial"/>
                <w:b/>
                <w:bCs/>
                <w:szCs w:val="22"/>
                <w:lang w:eastAsia="en-IN"/>
              </w:rPr>
            </w:pPr>
          </w:p>
          <w:p w14:paraId="642D3171" w14:textId="2766C463" w:rsidR="008B0D63" w:rsidRPr="005E5ABB" w:rsidRDefault="008B0D63" w:rsidP="00B64E06">
            <w:pPr>
              <w:spacing w:after="0" w:line="240" w:lineRule="auto"/>
              <w:rPr>
                <w:rFonts w:ascii="Tisa Offc Serif Pro" w:eastAsia="Times New Roman" w:hAnsi="Tisa Offc Serif Pro" w:cs="Arial"/>
                <w:szCs w:val="22"/>
                <w:lang w:eastAsia="en-IN"/>
              </w:rPr>
            </w:pPr>
            <w:r w:rsidRPr="005E5ABB">
              <w:rPr>
                <w:rFonts w:ascii="Tisa Offc Serif Pro" w:eastAsia="Times New Roman" w:hAnsi="Tisa Offc Serif Pro" w:cs="Arial"/>
                <w:b/>
                <w:bCs/>
                <w:szCs w:val="22"/>
                <w:lang w:eastAsia="en-IN"/>
              </w:rPr>
              <w:t>Address:</w:t>
            </w:r>
          </w:p>
        </w:tc>
        <w:tc>
          <w:tcPr>
            <w:tcW w:w="4396" w:type="dxa"/>
            <w:noWrap/>
            <w:hideMark/>
          </w:tcPr>
          <w:p w14:paraId="03C37E02" w14:textId="77777777" w:rsidR="008B0D63" w:rsidRPr="005E5ABB" w:rsidRDefault="008B0D63" w:rsidP="008B0D63">
            <w:pPr>
              <w:spacing w:after="0" w:line="240" w:lineRule="auto"/>
              <w:rPr>
                <w:rFonts w:ascii="Tisa Offc Serif Pro" w:eastAsia="Times New Roman" w:hAnsi="Tisa Offc Serif Pro" w:cs="Arial"/>
                <w:b/>
                <w:bCs/>
                <w:szCs w:val="22"/>
                <w:lang w:eastAsia="en-IN"/>
              </w:rPr>
            </w:pPr>
            <w:r w:rsidRPr="005E5ABB">
              <w:rPr>
                <w:rFonts w:ascii="Tisa Offc Serif Pro" w:eastAsia="Times New Roman" w:hAnsi="Tisa Offc Serif Pro" w:cs="Arial"/>
                <w:b/>
                <w:bCs/>
                <w:szCs w:val="22"/>
                <w:lang w:eastAsia="en-IN"/>
              </w:rPr>
              <w:t>To:</w:t>
            </w:r>
          </w:p>
          <w:p w14:paraId="75639818" w14:textId="77777777" w:rsidR="008B0D63" w:rsidRPr="005E5ABB" w:rsidRDefault="008B0D63" w:rsidP="008B0D63">
            <w:pPr>
              <w:spacing w:after="0" w:line="240" w:lineRule="auto"/>
              <w:rPr>
                <w:rFonts w:ascii="Tisa Offc Serif Pro" w:eastAsia="Times New Roman" w:hAnsi="Tisa Offc Serif Pro" w:cs="Arial"/>
                <w:b/>
                <w:bCs/>
                <w:szCs w:val="22"/>
                <w:lang w:eastAsia="en-IN"/>
              </w:rPr>
            </w:pPr>
          </w:p>
          <w:p w14:paraId="7DC5C8E5" w14:textId="77777777" w:rsidR="008B0D63" w:rsidRPr="005E5ABB" w:rsidRDefault="008B0D63" w:rsidP="008B0D63">
            <w:pPr>
              <w:spacing w:after="0" w:line="240" w:lineRule="auto"/>
              <w:ind w:left="311"/>
              <w:rPr>
                <w:rFonts w:ascii="Tisa Offc Serif Pro" w:eastAsia="Times New Roman" w:hAnsi="Tisa Offc Serif Pro" w:cs="Arial"/>
                <w:szCs w:val="22"/>
                <w:lang w:eastAsia="en-IN"/>
              </w:rPr>
            </w:pPr>
            <w:r w:rsidRPr="005E5ABB">
              <w:rPr>
                <w:rFonts w:ascii="Tisa Offc Serif Pro" w:eastAsia="Times New Roman" w:hAnsi="Tisa Offc Serif Pro" w:cs="Arial"/>
                <w:szCs w:val="22"/>
                <w:lang w:eastAsia="en-IN"/>
              </w:rPr>
              <w:t>Contract Services</w:t>
            </w:r>
          </w:p>
          <w:p w14:paraId="27B905E9" w14:textId="77777777" w:rsidR="008B0D63" w:rsidRPr="005E5ABB" w:rsidRDefault="008B0D63" w:rsidP="008B0D63">
            <w:pPr>
              <w:spacing w:after="0" w:line="240" w:lineRule="auto"/>
              <w:ind w:left="311"/>
              <w:rPr>
                <w:rFonts w:ascii="Tisa Offc Serif Pro" w:eastAsia="Times New Roman" w:hAnsi="Tisa Offc Serif Pro" w:cs="Arial"/>
                <w:szCs w:val="22"/>
                <w:lang w:eastAsia="en-IN"/>
              </w:rPr>
            </w:pPr>
            <w:r w:rsidRPr="005E5ABB">
              <w:rPr>
                <w:rFonts w:ascii="Tisa Offc Serif Pro" w:eastAsia="Times New Roman" w:hAnsi="Tisa Offc Serif Pro" w:cs="Arial"/>
                <w:szCs w:val="22"/>
                <w:lang w:eastAsia="en-IN"/>
              </w:rPr>
              <w:t>Power Grid Corporation of India Ltd.,</w:t>
            </w:r>
          </w:p>
          <w:p w14:paraId="002473EB" w14:textId="77777777" w:rsidR="008B0D63" w:rsidRPr="005E5ABB" w:rsidRDefault="008B0D63" w:rsidP="008B0D63">
            <w:pPr>
              <w:spacing w:after="0" w:line="240" w:lineRule="auto"/>
              <w:ind w:left="311"/>
              <w:rPr>
                <w:rFonts w:ascii="Tisa Offc Serif Pro" w:eastAsia="Times New Roman" w:hAnsi="Tisa Offc Serif Pro" w:cs="Arial"/>
                <w:szCs w:val="22"/>
                <w:lang w:eastAsia="en-IN"/>
              </w:rPr>
            </w:pPr>
            <w:r w:rsidRPr="005E5ABB">
              <w:rPr>
                <w:rFonts w:ascii="Tisa Offc Serif Pro" w:eastAsia="Times New Roman" w:hAnsi="Tisa Offc Serif Pro" w:cs="Arial"/>
                <w:szCs w:val="22"/>
                <w:lang w:eastAsia="en-IN"/>
              </w:rPr>
              <w:t>"Saudamini", Plot No. 2, Sector 29</w:t>
            </w:r>
          </w:p>
          <w:p w14:paraId="0A892F1C" w14:textId="117FC1A9" w:rsidR="008B0D63" w:rsidRPr="005E5ABB" w:rsidRDefault="008B0D63" w:rsidP="008B0D63">
            <w:pPr>
              <w:spacing w:after="0" w:line="240" w:lineRule="auto"/>
              <w:ind w:left="311"/>
              <w:rPr>
                <w:rFonts w:ascii="Tisa Offc Serif Pro" w:eastAsia="Times New Roman" w:hAnsi="Tisa Offc Serif Pro" w:cs="Arial"/>
                <w:szCs w:val="22"/>
                <w:lang w:eastAsia="en-IN"/>
              </w:rPr>
            </w:pPr>
            <w:r w:rsidRPr="005E5ABB">
              <w:rPr>
                <w:rFonts w:ascii="Tisa Offc Serif Pro" w:eastAsia="Times New Roman" w:hAnsi="Tisa Offc Serif Pro" w:cs="Arial"/>
                <w:szCs w:val="22"/>
                <w:lang w:eastAsia="en-IN"/>
              </w:rPr>
              <w:t>Gurgaon (Haryana) - 122001</w:t>
            </w:r>
          </w:p>
        </w:tc>
      </w:tr>
    </w:tbl>
    <w:p w14:paraId="79E0F821" w14:textId="77777777" w:rsidR="006C0C9A" w:rsidRPr="005E5ABB" w:rsidRDefault="006C0C9A" w:rsidP="006C0C9A">
      <w:pPr>
        <w:rPr>
          <w:rFonts w:ascii="Tisa Offc Serif Pro" w:hAnsi="Tisa Offc Serif Pro" w:cs="Arial"/>
          <w:szCs w:val="22"/>
        </w:rPr>
      </w:pPr>
      <w:r w:rsidRPr="005E5ABB">
        <w:rPr>
          <w:rFonts w:ascii="Tisa Offc Serif Pro" w:hAnsi="Tisa Offc Serif Pro" w:cs="Arial"/>
          <w:szCs w:val="22"/>
        </w:rPr>
        <w:t>Dear Sir,</w:t>
      </w:r>
    </w:p>
    <w:p w14:paraId="0CAFBBC2" w14:textId="26752283" w:rsidR="001A621F" w:rsidRPr="005E5ABB" w:rsidRDefault="006C0C9A" w:rsidP="006C0C9A">
      <w:pPr>
        <w:ind w:left="720" w:hanging="720"/>
        <w:jc w:val="both"/>
        <w:rPr>
          <w:rFonts w:ascii="Tisa Offc Serif Pro" w:hAnsi="Tisa Offc Serif Pro" w:cs="Arial"/>
          <w:szCs w:val="22"/>
        </w:rPr>
      </w:pPr>
      <w:r w:rsidRPr="005E5ABB">
        <w:rPr>
          <w:rFonts w:ascii="Tisa Offc Serif Pro" w:hAnsi="Tisa Offc Serif Pro" w:cs="Arial"/>
          <w:szCs w:val="22"/>
        </w:rPr>
        <w:t>1.0</w:t>
      </w:r>
      <w:r w:rsidRPr="005E5ABB">
        <w:rPr>
          <w:rFonts w:ascii="Tisa Offc Serif Pro" w:hAnsi="Tisa Offc Serif Pro" w:cs="Arial"/>
          <w:szCs w:val="22"/>
        </w:rPr>
        <w:tab/>
      </w:r>
      <w:r w:rsidR="00871A6E" w:rsidRPr="005E5ABB">
        <w:rPr>
          <w:rFonts w:ascii="Tisa Offc Serif Pro" w:hAnsi="Tisa Offc Serif Pro" w:cs="Arial"/>
          <w:szCs w:val="22"/>
        </w:rPr>
        <w:t xml:space="preserve">We have read the provisions of the bidding documents regarding </w:t>
      </w:r>
      <w:r w:rsidR="0005262D" w:rsidRPr="005E5ABB">
        <w:rPr>
          <w:rFonts w:ascii="Tisa Offc Serif Pro" w:hAnsi="Tisa Offc Serif Pro" w:cs="Arial"/>
          <w:szCs w:val="22"/>
        </w:rPr>
        <w:t xml:space="preserve">abiding by </w:t>
      </w:r>
      <w:r w:rsidR="00AB40D9" w:rsidRPr="005E5ABB">
        <w:rPr>
          <w:rFonts w:ascii="Tisa Offc Serif Pro" w:hAnsi="Tisa Offc Serif Pro" w:cs="Arial"/>
          <w:szCs w:val="22"/>
        </w:rPr>
        <w:t>the ‘Code of Integrity for Public Procurement’.</w:t>
      </w:r>
      <w:r w:rsidR="00871A6E" w:rsidRPr="005E5ABB">
        <w:rPr>
          <w:rFonts w:ascii="Tisa Offc Serif Pro" w:hAnsi="Tisa Offc Serif Pro" w:cs="Arial"/>
          <w:szCs w:val="22"/>
        </w:rPr>
        <w:t xml:space="preserve"> Accordingly, </w:t>
      </w:r>
      <w:r w:rsidR="004C4A4C" w:rsidRPr="005E5ABB">
        <w:rPr>
          <w:rFonts w:ascii="Tisa Offc Serif Pro" w:hAnsi="Tisa Offc Serif Pro" w:cs="Arial"/>
          <w:szCs w:val="22"/>
        </w:rPr>
        <w:t>we hereby declare that we shall abide by the ‘Code of Integrity for Public Procurement’</w:t>
      </w:r>
      <w:r w:rsidR="00B80536" w:rsidRPr="005E5ABB">
        <w:rPr>
          <w:rFonts w:ascii="Tisa Offc Serif Pro" w:hAnsi="Tisa Offc Serif Pro" w:cs="Arial"/>
          <w:szCs w:val="22"/>
        </w:rPr>
        <w:t xml:space="preserve"> as mentioned under ITB Clause 36 of the Bidding Documents</w:t>
      </w:r>
      <w:r w:rsidR="001A621F" w:rsidRPr="005E5ABB">
        <w:rPr>
          <w:rFonts w:ascii="Tisa Offc Serif Pro" w:hAnsi="Tisa Offc Serif Pro" w:cs="Arial"/>
          <w:szCs w:val="22"/>
        </w:rPr>
        <w:t xml:space="preserve">. </w:t>
      </w:r>
    </w:p>
    <w:p w14:paraId="640A48AA" w14:textId="574D6B2D" w:rsidR="00950B1F" w:rsidRPr="005E5ABB" w:rsidRDefault="00950B1F" w:rsidP="00950B1F">
      <w:pPr>
        <w:ind w:left="720" w:hanging="720"/>
        <w:jc w:val="both"/>
        <w:rPr>
          <w:rFonts w:ascii="Tisa Offc Serif Pro" w:hAnsi="Tisa Offc Serif Pro" w:cs="Arial"/>
          <w:szCs w:val="22"/>
        </w:rPr>
      </w:pPr>
      <w:r w:rsidRPr="005E5ABB">
        <w:rPr>
          <w:rFonts w:ascii="Tisa Offc Serif Pro" w:hAnsi="Tisa Offc Serif Pro" w:cs="Arial"/>
          <w:szCs w:val="22"/>
        </w:rPr>
        <w:tab/>
        <w:t>The details of any previous transgressions of the code of integrity with any entity in any country during the last three years or of being debarred by any other Procuring Entity are as under:</w:t>
      </w:r>
    </w:p>
    <w:p w14:paraId="7992A10F" w14:textId="77777777" w:rsidR="00950B1F" w:rsidRPr="005E5ABB" w:rsidRDefault="00950B1F" w:rsidP="00950B1F">
      <w:pPr>
        <w:ind w:left="720" w:hanging="11"/>
        <w:jc w:val="both"/>
        <w:rPr>
          <w:rFonts w:ascii="Tisa Offc Serif Pro" w:hAnsi="Tisa Offc Serif Pro" w:cs="Arial"/>
          <w:szCs w:val="22"/>
        </w:rPr>
      </w:pPr>
      <w:r w:rsidRPr="005E5ABB">
        <w:rPr>
          <w:rFonts w:ascii="Tisa Offc Serif Pro" w:hAnsi="Tisa Offc Serif Pro" w:cs="Arial"/>
          <w:szCs w:val="22"/>
        </w:rPr>
        <w:t>(a)</w:t>
      </w:r>
    </w:p>
    <w:p w14:paraId="0939AD98" w14:textId="77777777" w:rsidR="00950B1F" w:rsidRPr="005E5ABB" w:rsidRDefault="00950B1F" w:rsidP="00950B1F">
      <w:pPr>
        <w:ind w:left="720" w:hanging="11"/>
        <w:jc w:val="both"/>
        <w:rPr>
          <w:rFonts w:ascii="Tisa Offc Serif Pro" w:hAnsi="Tisa Offc Serif Pro" w:cs="Arial"/>
          <w:szCs w:val="22"/>
        </w:rPr>
      </w:pPr>
      <w:r w:rsidRPr="005E5ABB">
        <w:rPr>
          <w:rFonts w:ascii="Tisa Offc Serif Pro" w:hAnsi="Tisa Offc Serif Pro" w:cs="Arial"/>
          <w:szCs w:val="22"/>
        </w:rPr>
        <w:t>(b)</w:t>
      </w:r>
    </w:p>
    <w:p w14:paraId="04C55E7D" w14:textId="77777777" w:rsidR="00950B1F" w:rsidRPr="005E5ABB" w:rsidRDefault="00950B1F" w:rsidP="00950B1F">
      <w:pPr>
        <w:ind w:left="720" w:hanging="11"/>
        <w:jc w:val="both"/>
        <w:rPr>
          <w:rFonts w:ascii="Tisa Offc Serif Pro" w:hAnsi="Tisa Offc Serif Pro" w:cs="Arial"/>
          <w:szCs w:val="22"/>
        </w:rPr>
      </w:pPr>
      <w:r w:rsidRPr="005E5ABB">
        <w:rPr>
          <w:rFonts w:ascii="Tisa Offc Serif Pro" w:hAnsi="Tisa Offc Serif Pro" w:cs="Arial"/>
          <w:szCs w:val="22"/>
        </w:rPr>
        <w:lastRenderedPageBreak/>
        <w:t>(c)</w:t>
      </w:r>
    </w:p>
    <w:p w14:paraId="3B2B5598" w14:textId="2B3CDA08" w:rsidR="00195624" w:rsidRPr="005E5ABB" w:rsidRDefault="00492CA0" w:rsidP="00195624">
      <w:pPr>
        <w:ind w:left="720" w:hanging="720"/>
        <w:jc w:val="both"/>
        <w:rPr>
          <w:rFonts w:ascii="Tisa Offc Serif Pro" w:hAnsi="Tisa Offc Serif Pro" w:cs="Arial"/>
          <w:szCs w:val="22"/>
        </w:rPr>
      </w:pPr>
      <w:r w:rsidRPr="005E5ABB">
        <w:rPr>
          <w:rFonts w:ascii="Tisa Offc Serif Pro" w:hAnsi="Tisa Offc Serif Pro" w:cs="Arial"/>
          <w:szCs w:val="22"/>
        </w:rPr>
        <w:t>2.0</w:t>
      </w:r>
      <w:r w:rsidRPr="005E5ABB">
        <w:rPr>
          <w:rFonts w:ascii="Tisa Offc Serif Pro" w:hAnsi="Tisa Offc Serif Pro" w:cs="Arial"/>
          <w:szCs w:val="22"/>
        </w:rPr>
        <w:tab/>
      </w:r>
      <w:r w:rsidR="00950B1F" w:rsidRPr="005E5ABB">
        <w:rPr>
          <w:rFonts w:ascii="Tisa Offc Serif Pro" w:hAnsi="Tisa Offc Serif Pro" w:cs="Arial"/>
          <w:szCs w:val="22"/>
        </w:rPr>
        <w:t xml:space="preserve">We </w:t>
      </w:r>
      <w:r w:rsidR="00F64536" w:rsidRPr="005E5ABB">
        <w:rPr>
          <w:rFonts w:ascii="Tisa Offc Serif Pro" w:hAnsi="Tisa Offc Serif Pro" w:cs="Arial"/>
          <w:szCs w:val="22"/>
        </w:rPr>
        <w:t>also accept</w:t>
      </w:r>
      <w:r w:rsidR="00950B1F" w:rsidRPr="005E5ABB">
        <w:rPr>
          <w:rFonts w:ascii="Tisa Offc Serif Pro" w:hAnsi="Tisa Offc Serif Pro" w:cs="Arial"/>
          <w:szCs w:val="22"/>
        </w:rPr>
        <w:t xml:space="preserve"> that </w:t>
      </w:r>
      <w:r w:rsidR="001203DB" w:rsidRPr="005E5ABB">
        <w:rPr>
          <w:rFonts w:ascii="Tisa Offc Serif Pro" w:hAnsi="Tisa Offc Serif Pro" w:cs="Arial"/>
          <w:szCs w:val="22"/>
        </w:rPr>
        <w:t>i</w:t>
      </w:r>
      <w:r w:rsidR="00950B1F" w:rsidRPr="005E5ABB">
        <w:rPr>
          <w:rFonts w:ascii="Tisa Offc Serif Pro" w:hAnsi="Tisa Offc Serif Pro" w:cs="Arial"/>
          <w:szCs w:val="22"/>
        </w:rPr>
        <w:t xml:space="preserve">n case of </w:t>
      </w:r>
      <w:r w:rsidR="00F43FBD" w:rsidRPr="005E5ABB">
        <w:rPr>
          <w:rFonts w:ascii="Tisa Offc Serif Pro" w:hAnsi="Tisa Offc Serif Pro" w:cs="Arial"/>
          <w:szCs w:val="22"/>
        </w:rPr>
        <w:t>vio</w:t>
      </w:r>
      <w:r w:rsidR="00741E8E" w:rsidRPr="005E5ABB">
        <w:rPr>
          <w:rFonts w:ascii="Tisa Offc Serif Pro" w:hAnsi="Tisa Offc Serif Pro" w:cs="Arial"/>
          <w:szCs w:val="22"/>
        </w:rPr>
        <w:t>lation/</w:t>
      </w:r>
      <w:r w:rsidR="00950B1F" w:rsidRPr="005E5ABB">
        <w:rPr>
          <w:rFonts w:ascii="Tisa Offc Serif Pro" w:hAnsi="Tisa Offc Serif Pro" w:cs="Arial"/>
          <w:szCs w:val="22"/>
        </w:rPr>
        <w:t>transgression</w:t>
      </w:r>
      <w:r w:rsidR="00741E8E" w:rsidRPr="005E5ABB">
        <w:rPr>
          <w:rFonts w:ascii="Tisa Offc Serif Pro" w:hAnsi="Tisa Offc Serif Pro" w:cs="Arial"/>
          <w:szCs w:val="22"/>
        </w:rPr>
        <w:t xml:space="preserve"> </w:t>
      </w:r>
      <w:r w:rsidR="00950B1F" w:rsidRPr="005E5ABB">
        <w:rPr>
          <w:rFonts w:ascii="Tisa Offc Serif Pro" w:hAnsi="Tisa Offc Serif Pro" w:cs="Arial"/>
          <w:szCs w:val="22"/>
        </w:rPr>
        <w:t>of this code</w:t>
      </w:r>
      <w:r w:rsidR="004708CF" w:rsidRPr="005E5ABB">
        <w:rPr>
          <w:rFonts w:ascii="Tisa Offc Serif Pro" w:hAnsi="Tisa Offc Serif Pro" w:cs="Arial"/>
          <w:szCs w:val="22"/>
        </w:rPr>
        <w:t xml:space="preserve"> </w:t>
      </w:r>
      <w:r w:rsidR="0025374D" w:rsidRPr="005E5ABB">
        <w:rPr>
          <w:rFonts w:ascii="Tisa Offc Serif Pro" w:hAnsi="Tisa Offc Serif Pro" w:cs="Arial"/>
          <w:szCs w:val="22"/>
        </w:rPr>
        <w:t xml:space="preserve">by us </w:t>
      </w:r>
      <w:r w:rsidR="004708CF" w:rsidRPr="005E5ABB">
        <w:rPr>
          <w:rFonts w:ascii="Tisa Offc Serif Pro" w:hAnsi="Tisa Offc Serif Pro" w:cs="Arial"/>
          <w:szCs w:val="22"/>
        </w:rPr>
        <w:t>in competing for or in executing the Contract</w:t>
      </w:r>
      <w:r w:rsidR="001D32BC" w:rsidRPr="005E5ABB">
        <w:rPr>
          <w:rFonts w:ascii="Tisa Offc Serif Pro" w:hAnsi="Tisa Offc Serif Pro" w:cs="Arial"/>
          <w:szCs w:val="22"/>
        </w:rPr>
        <w:t xml:space="preserve">, </w:t>
      </w:r>
      <w:r w:rsidR="00195624" w:rsidRPr="005E5ABB">
        <w:rPr>
          <w:rFonts w:ascii="Tisa Offc Serif Pro" w:hAnsi="Tisa Offc Serif Pro" w:cs="Arial"/>
          <w:szCs w:val="22"/>
        </w:rPr>
        <w:t xml:space="preserve">Employer has the right to take punitive measures </w:t>
      </w:r>
      <w:r w:rsidR="001203DB" w:rsidRPr="005E5ABB">
        <w:rPr>
          <w:rFonts w:ascii="Tisa Offc Serif Pro" w:hAnsi="Tisa Offc Serif Pro" w:cs="Arial"/>
          <w:szCs w:val="22"/>
        </w:rPr>
        <w:t xml:space="preserve">as per the provisions of the Bidding Documents and/or </w:t>
      </w:r>
      <w:r w:rsidR="008959B5" w:rsidRPr="005E5ABB">
        <w:rPr>
          <w:rFonts w:ascii="Tisa Offc Serif Pro" w:hAnsi="Tisa Offc Serif Pro" w:cs="Arial"/>
          <w:szCs w:val="22"/>
        </w:rPr>
        <w:t>POWERGRID’s policy and procedure.</w:t>
      </w:r>
    </w:p>
    <w:p w14:paraId="117D1A61" w14:textId="214F621A" w:rsidR="00F974AE" w:rsidRPr="005E5ABB" w:rsidRDefault="00F974AE" w:rsidP="00F974AE">
      <w:pPr>
        <w:ind w:left="720" w:hanging="720"/>
        <w:jc w:val="both"/>
        <w:rPr>
          <w:rFonts w:ascii="Tisa Offc Serif Pro" w:hAnsi="Tisa Offc Serif Pro" w:cs="Arial"/>
          <w:szCs w:val="22"/>
        </w:rPr>
      </w:pPr>
    </w:p>
    <w:tbl>
      <w:tblPr>
        <w:tblW w:w="8164" w:type="dxa"/>
        <w:tblInd w:w="817" w:type="dxa"/>
        <w:tblLook w:val="04A0" w:firstRow="1" w:lastRow="0" w:firstColumn="1" w:lastColumn="0" w:noHBand="0" w:noVBand="1"/>
      </w:tblPr>
      <w:tblGrid>
        <w:gridCol w:w="1276"/>
        <w:gridCol w:w="2566"/>
        <w:gridCol w:w="1828"/>
        <w:gridCol w:w="2494"/>
      </w:tblGrid>
      <w:tr w:rsidR="00813B87" w:rsidRPr="005E5ABB" w14:paraId="74FC0F60" w14:textId="77777777" w:rsidTr="00813B87">
        <w:trPr>
          <w:trHeight w:val="409"/>
        </w:trPr>
        <w:tc>
          <w:tcPr>
            <w:tcW w:w="1276" w:type="dxa"/>
            <w:noWrap/>
            <w:vAlign w:val="center"/>
            <w:hideMark/>
          </w:tcPr>
          <w:p w14:paraId="0769B23D" w14:textId="04E7699B" w:rsidR="00813B87" w:rsidRPr="005E5ABB" w:rsidRDefault="00813B87" w:rsidP="00B64E06">
            <w:pPr>
              <w:spacing w:after="0" w:line="240" w:lineRule="auto"/>
              <w:rPr>
                <w:rFonts w:ascii="Tisa Offc Serif Pro" w:eastAsia="Times New Roman" w:hAnsi="Tisa Offc Serif Pro" w:cs="Arial"/>
                <w:b/>
                <w:bCs/>
                <w:szCs w:val="22"/>
                <w:lang w:eastAsia="en-IN"/>
              </w:rPr>
            </w:pPr>
            <w:r w:rsidRPr="005E5ABB">
              <w:rPr>
                <w:rFonts w:ascii="Tisa Offc Serif Pro" w:eastAsia="Times New Roman" w:hAnsi="Tisa Offc Serif Pro" w:cs="Arial"/>
                <w:b/>
                <w:bCs/>
                <w:szCs w:val="22"/>
                <w:lang w:eastAsia="en-IN"/>
              </w:rPr>
              <w:t>Date:</w:t>
            </w:r>
          </w:p>
        </w:tc>
        <w:tc>
          <w:tcPr>
            <w:tcW w:w="2566" w:type="dxa"/>
            <w:noWrap/>
            <w:vAlign w:val="center"/>
            <w:hideMark/>
          </w:tcPr>
          <w:p w14:paraId="7CE78E12" w14:textId="77777777" w:rsidR="00813B87" w:rsidRPr="005E5ABB" w:rsidRDefault="00813B87" w:rsidP="00B64E06">
            <w:pPr>
              <w:spacing w:after="0" w:line="240" w:lineRule="auto"/>
              <w:rPr>
                <w:rFonts w:ascii="Tisa Offc Serif Pro" w:eastAsia="Times New Roman" w:hAnsi="Tisa Offc Serif Pro" w:cs="Arial"/>
                <w:b/>
                <w:bCs/>
                <w:szCs w:val="22"/>
                <w:lang w:eastAsia="en-IN"/>
              </w:rPr>
            </w:pPr>
          </w:p>
        </w:tc>
        <w:tc>
          <w:tcPr>
            <w:tcW w:w="1828" w:type="dxa"/>
            <w:noWrap/>
            <w:vAlign w:val="bottom"/>
            <w:hideMark/>
          </w:tcPr>
          <w:p w14:paraId="44CF1D71" w14:textId="78C6862E" w:rsidR="00813B87" w:rsidRPr="005E5ABB" w:rsidRDefault="00813B87" w:rsidP="00813B87">
            <w:pPr>
              <w:spacing w:after="0" w:line="240" w:lineRule="auto"/>
              <w:rPr>
                <w:rFonts w:ascii="Tisa Offc Serif Pro" w:eastAsia="Times New Roman" w:hAnsi="Tisa Offc Serif Pro" w:cs="Arial"/>
                <w:b/>
                <w:bCs/>
                <w:szCs w:val="22"/>
                <w:lang w:eastAsia="en-IN"/>
              </w:rPr>
            </w:pPr>
            <w:r w:rsidRPr="005E5ABB">
              <w:rPr>
                <w:rFonts w:ascii="Tisa Offc Serif Pro" w:eastAsia="Times New Roman" w:hAnsi="Tisa Offc Serif Pro" w:cs="Arial"/>
                <w:b/>
                <w:bCs/>
                <w:szCs w:val="22"/>
                <w:lang w:eastAsia="en-IN"/>
              </w:rPr>
              <w:t>Printed Name:</w:t>
            </w:r>
          </w:p>
        </w:tc>
        <w:tc>
          <w:tcPr>
            <w:tcW w:w="2494" w:type="dxa"/>
            <w:vAlign w:val="center"/>
            <w:hideMark/>
          </w:tcPr>
          <w:p w14:paraId="58A96106" w14:textId="77777777" w:rsidR="00813B87" w:rsidRPr="005E5ABB" w:rsidRDefault="00813B87" w:rsidP="00B64E06">
            <w:pPr>
              <w:spacing w:after="0" w:line="240" w:lineRule="auto"/>
              <w:rPr>
                <w:rFonts w:ascii="Tisa Offc Serif Pro" w:eastAsia="Times New Roman" w:hAnsi="Tisa Offc Serif Pro" w:cs="Arial"/>
                <w:b/>
                <w:bCs/>
                <w:szCs w:val="22"/>
                <w:lang w:eastAsia="en-IN"/>
              </w:rPr>
            </w:pPr>
          </w:p>
        </w:tc>
      </w:tr>
      <w:tr w:rsidR="00813B87" w:rsidRPr="005E5ABB" w14:paraId="11DDA4C7" w14:textId="77777777" w:rsidTr="00813B87">
        <w:trPr>
          <w:trHeight w:val="409"/>
        </w:trPr>
        <w:tc>
          <w:tcPr>
            <w:tcW w:w="1276" w:type="dxa"/>
            <w:noWrap/>
            <w:vAlign w:val="center"/>
            <w:hideMark/>
          </w:tcPr>
          <w:p w14:paraId="04E6BACF" w14:textId="58067EE3" w:rsidR="00813B87" w:rsidRPr="005E5ABB" w:rsidRDefault="00813B87" w:rsidP="00B64E06">
            <w:pPr>
              <w:spacing w:after="0" w:line="240" w:lineRule="auto"/>
              <w:rPr>
                <w:rFonts w:ascii="Tisa Offc Serif Pro" w:eastAsia="Times New Roman" w:hAnsi="Tisa Offc Serif Pro" w:cs="Arial"/>
                <w:b/>
                <w:bCs/>
                <w:szCs w:val="22"/>
                <w:lang w:eastAsia="en-IN"/>
              </w:rPr>
            </w:pPr>
            <w:r w:rsidRPr="005E5ABB">
              <w:rPr>
                <w:rFonts w:ascii="Tisa Offc Serif Pro" w:eastAsia="Times New Roman" w:hAnsi="Tisa Offc Serif Pro" w:cs="Arial"/>
                <w:b/>
                <w:bCs/>
                <w:szCs w:val="22"/>
                <w:lang w:eastAsia="en-IN"/>
              </w:rPr>
              <w:t>Place:</w:t>
            </w:r>
          </w:p>
        </w:tc>
        <w:tc>
          <w:tcPr>
            <w:tcW w:w="2566" w:type="dxa"/>
            <w:vAlign w:val="center"/>
            <w:hideMark/>
          </w:tcPr>
          <w:p w14:paraId="22993E17" w14:textId="77777777" w:rsidR="00813B87" w:rsidRPr="005E5ABB" w:rsidRDefault="00813B87" w:rsidP="00B64E06">
            <w:pPr>
              <w:spacing w:after="0" w:line="240" w:lineRule="auto"/>
              <w:rPr>
                <w:rFonts w:ascii="Tisa Offc Serif Pro" w:eastAsia="Times New Roman" w:hAnsi="Tisa Offc Serif Pro" w:cs="Arial"/>
                <w:b/>
                <w:bCs/>
                <w:szCs w:val="22"/>
                <w:lang w:eastAsia="en-IN"/>
              </w:rPr>
            </w:pPr>
          </w:p>
        </w:tc>
        <w:tc>
          <w:tcPr>
            <w:tcW w:w="1828" w:type="dxa"/>
            <w:noWrap/>
            <w:vAlign w:val="bottom"/>
            <w:hideMark/>
          </w:tcPr>
          <w:p w14:paraId="440536FD" w14:textId="7316783C" w:rsidR="00813B87" w:rsidRPr="005E5ABB" w:rsidRDefault="00813B87" w:rsidP="00813B87">
            <w:pPr>
              <w:spacing w:after="0" w:line="240" w:lineRule="auto"/>
              <w:rPr>
                <w:rFonts w:ascii="Tisa Offc Serif Pro" w:eastAsia="Times New Roman" w:hAnsi="Tisa Offc Serif Pro" w:cs="Arial"/>
                <w:b/>
                <w:bCs/>
                <w:szCs w:val="22"/>
                <w:lang w:eastAsia="en-IN"/>
              </w:rPr>
            </w:pPr>
            <w:r w:rsidRPr="005E5ABB">
              <w:rPr>
                <w:rFonts w:ascii="Tisa Offc Serif Pro" w:eastAsia="Times New Roman" w:hAnsi="Tisa Offc Serif Pro" w:cs="Arial"/>
                <w:b/>
                <w:bCs/>
                <w:szCs w:val="22"/>
                <w:lang w:eastAsia="en-IN"/>
              </w:rPr>
              <w:t>Designation:</w:t>
            </w:r>
          </w:p>
        </w:tc>
        <w:tc>
          <w:tcPr>
            <w:tcW w:w="2494" w:type="dxa"/>
            <w:vAlign w:val="center"/>
            <w:hideMark/>
          </w:tcPr>
          <w:p w14:paraId="171B6AD1" w14:textId="77777777" w:rsidR="00813B87" w:rsidRPr="005E5ABB" w:rsidRDefault="00813B87" w:rsidP="00B64E06">
            <w:pPr>
              <w:spacing w:after="0" w:line="240" w:lineRule="auto"/>
              <w:rPr>
                <w:rFonts w:ascii="Tisa Offc Serif Pro" w:eastAsia="Times New Roman" w:hAnsi="Tisa Offc Serif Pro" w:cs="Arial"/>
                <w:b/>
                <w:bCs/>
                <w:szCs w:val="22"/>
                <w:lang w:eastAsia="en-IN"/>
              </w:rPr>
            </w:pPr>
          </w:p>
        </w:tc>
      </w:tr>
    </w:tbl>
    <w:p w14:paraId="58C6FE8B" w14:textId="77777777" w:rsidR="00423304" w:rsidRDefault="00423304" w:rsidP="00423304">
      <w:pPr>
        <w:ind w:left="783" w:hanging="783"/>
        <w:jc w:val="both"/>
        <w:rPr>
          <w:rFonts w:ascii="Arial" w:hAnsi="Arial" w:cs="Arial"/>
          <w:b/>
          <w:bCs/>
          <w:szCs w:val="22"/>
        </w:rPr>
      </w:pPr>
    </w:p>
    <w:p w14:paraId="153B20EF" w14:textId="77777777" w:rsidR="00423304" w:rsidRDefault="00423304" w:rsidP="00423304">
      <w:pPr>
        <w:ind w:left="783" w:hanging="783"/>
        <w:jc w:val="both"/>
        <w:rPr>
          <w:rFonts w:ascii="Book Antiqua" w:hAnsi="Book Antiqua" w:cs="Arial"/>
          <w:b/>
          <w:bCs/>
          <w:szCs w:val="22"/>
        </w:rPr>
      </w:pPr>
    </w:p>
    <w:p w14:paraId="0220E57D" w14:textId="77777777" w:rsidR="004437C9" w:rsidRDefault="004437C9" w:rsidP="00423304">
      <w:pPr>
        <w:ind w:left="783" w:hanging="783"/>
        <w:jc w:val="both"/>
        <w:rPr>
          <w:rFonts w:ascii="Book Antiqua" w:hAnsi="Book Antiqua" w:cs="Arial"/>
          <w:b/>
          <w:bCs/>
          <w:szCs w:val="22"/>
        </w:rPr>
      </w:pPr>
    </w:p>
    <w:p w14:paraId="3076FD36" w14:textId="77777777" w:rsidR="004437C9" w:rsidRDefault="004437C9" w:rsidP="00423304">
      <w:pPr>
        <w:ind w:left="783" w:hanging="783"/>
        <w:jc w:val="both"/>
        <w:rPr>
          <w:rFonts w:ascii="Book Antiqua" w:hAnsi="Book Antiqua" w:cs="Arial"/>
          <w:b/>
          <w:bCs/>
          <w:szCs w:val="22"/>
        </w:rPr>
      </w:pPr>
    </w:p>
    <w:p w14:paraId="357C5147" w14:textId="77777777" w:rsidR="004437C9" w:rsidRDefault="004437C9" w:rsidP="00423304">
      <w:pPr>
        <w:ind w:left="783" w:hanging="783"/>
        <w:jc w:val="both"/>
        <w:rPr>
          <w:rFonts w:ascii="Book Antiqua" w:hAnsi="Book Antiqua" w:cs="Arial"/>
          <w:b/>
          <w:bCs/>
          <w:szCs w:val="22"/>
        </w:rPr>
      </w:pPr>
    </w:p>
    <w:p w14:paraId="218ABE38" w14:textId="77777777" w:rsidR="004437C9" w:rsidRDefault="004437C9" w:rsidP="00423304">
      <w:pPr>
        <w:ind w:left="783" w:hanging="783"/>
        <w:jc w:val="both"/>
        <w:rPr>
          <w:rFonts w:ascii="Book Antiqua" w:hAnsi="Book Antiqua" w:cs="Arial"/>
          <w:b/>
          <w:bCs/>
          <w:szCs w:val="22"/>
        </w:rPr>
      </w:pPr>
    </w:p>
    <w:p w14:paraId="1D23A88B" w14:textId="77777777" w:rsidR="004437C9" w:rsidRDefault="004437C9" w:rsidP="00423304">
      <w:pPr>
        <w:ind w:left="783" w:hanging="783"/>
        <w:jc w:val="both"/>
        <w:rPr>
          <w:rFonts w:ascii="Book Antiqua" w:hAnsi="Book Antiqua" w:cs="Arial"/>
          <w:b/>
          <w:bCs/>
          <w:szCs w:val="22"/>
        </w:rPr>
      </w:pPr>
    </w:p>
    <w:p w14:paraId="00C6A337" w14:textId="77777777" w:rsidR="004437C9" w:rsidRDefault="004437C9" w:rsidP="00423304">
      <w:pPr>
        <w:ind w:left="783" w:hanging="783"/>
        <w:jc w:val="both"/>
        <w:rPr>
          <w:rFonts w:ascii="Book Antiqua" w:hAnsi="Book Antiqua" w:cs="Arial"/>
          <w:b/>
          <w:bCs/>
          <w:szCs w:val="22"/>
        </w:rPr>
      </w:pPr>
    </w:p>
    <w:p w14:paraId="6A0F81BB" w14:textId="77777777" w:rsidR="004437C9" w:rsidRDefault="004437C9" w:rsidP="00423304">
      <w:pPr>
        <w:ind w:left="783" w:hanging="783"/>
        <w:jc w:val="both"/>
        <w:rPr>
          <w:rFonts w:ascii="Book Antiqua" w:hAnsi="Book Antiqua" w:cs="Arial"/>
          <w:b/>
          <w:bCs/>
          <w:szCs w:val="22"/>
        </w:rPr>
      </w:pPr>
    </w:p>
    <w:p w14:paraId="0463C8A1" w14:textId="77777777" w:rsidR="004437C9" w:rsidRDefault="004437C9" w:rsidP="00423304">
      <w:pPr>
        <w:ind w:left="783" w:hanging="783"/>
        <w:jc w:val="both"/>
        <w:rPr>
          <w:rFonts w:ascii="Book Antiqua" w:hAnsi="Book Antiqua" w:cs="Arial"/>
          <w:b/>
          <w:bCs/>
          <w:szCs w:val="22"/>
        </w:rPr>
      </w:pPr>
    </w:p>
    <w:p w14:paraId="41945F0B" w14:textId="77777777" w:rsidR="004437C9" w:rsidRDefault="004437C9" w:rsidP="00423304">
      <w:pPr>
        <w:ind w:left="783" w:hanging="783"/>
        <w:jc w:val="both"/>
        <w:rPr>
          <w:rFonts w:ascii="Book Antiqua" w:hAnsi="Book Antiqua" w:cs="Arial"/>
          <w:b/>
          <w:bCs/>
          <w:szCs w:val="22"/>
        </w:rPr>
      </w:pPr>
    </w:p>
    <w:p w14:paraId="7F992CA7" w14:textId="77777777" w:rsidR="004437C9" w:rsidRDefault="004437C9" w:rsidP="00423304">
      <w:pPr>
        <w:ind w:left="783" w:hanging="783"/>
        <w:jc w:val="both"/>
        <w:rPr>
          <w:rFonts w:ascii="Book Antiqua" w:hAnsi="Book Antiqua" w:cs="Arial"/>
          <w:b/>
          <w:bCs/>
          <w:szCs w:val="22"/>
        </w:rPr>
      </w:pPr>
    </w:p>
    <w:p w14:paraId="37682253" w14:textId="77777777" w:rsidR="004437C9" w:rsidRDefault="004437C9" w:rsidP="00423304">
      <w:pPr>
        <w:ind w:left="783" w:hanging="783"/>
        <w:jc w:val="both"/>
        <w:rPr>
          <w:rFonts w:ascii="Book Antiqua" w:hAnsi="Book Antiqua" w:cs="Arial"/>
          <w:b/>
          <w:bCs/>
          <w:szCs w:val="22"/>
        </w:rPr>
      </w:pPr>
    </w:p>
    <w:p w14:paraId="75376BE1" w14:textId="77777777" w:rsidR="004437C9" w:rsidRDefault="004437C9" w:rsidP="00423304">
      <w:pPr>
        <w:ind w:left="783" w:hanging="783"/>
        <w:jc w:val="both"/>
        <w:rPr>
          <w:rFonts w:ascii="Book Antiqua" w:hAnsi="Book Antiqua" w:cs="Arial"/>
          <w:b/>
          <w:bCs/>
          <w:szCs w:val="22"/>
        </w:rPr>
      </w:pPr>
    </w:p>
    <w:p w14:paraId="32A18431" w14:textId="77777777" w:rsidR="004437C9" w:rsidRDefault="004437C9" w:rsidP="00423304">
      <w:pPr>
        <w:ind w:left="783" w:hanging="783"/>
        <w:jc w:val="both"/>
        <w:rPr>
          <w:rFonts w:ascii="Book Antiqua" w:hAnsi="Book Antiqua" w:cs="Arial"/>
          <w:b/>
          <w:bCs/>
          <w:szCs w:val="22"/>
        </w:rPr>
      </w:pPr>
    </w:p>
    <w:p w14:paraId="6A70887C" w14:textId="77777777" w:rsidR="004437C9" w:rsidRDefault="004437C9" w:rsidP="00423304">
      <w:pPr>
        <w:ind w:left="783" w:hanging="783"/>
        <w:jc w:val="both"/>
        <w:rPr>
          <w:rFonts w:ascii="Book Antiqua" w:hAnsi="Book Antiqua" w:cs="Arial"/>
          <w:b/>
          <w:bCs/>
          <w:szCs w:val="22"/>
        </w:rPr>
      </w:pPr>
    </w:p>
    <w:p w14:paraId="3F79CB16" w14:textId="77777777" w:rsidR="004437C9" w:rsidRDefault="004437C9" w:rsidP="00423304">
      <w:pPr>
        <w:ind w:left="783" w:hanging="783"/>
        <w:jc w:val="both"/>
        <w:rPr>
          <w:rFonts w:ascii="Book Antiqua" w:hAnsi="Book Antiqua" w:cs="Arial"/>
          <w:b/>
          <w:bCs/>
          <w:szCs w:val="22"/>
        </w:rPr>
      </w:pPr>
    </w:p>
    <w:p w14:paraId="08F9B43B" w14:textId="77777777" w:rsidR="004437C9" w:rsidRDefault="004437C9" w:rsidP="00423304">
      <w:pPr>
        <w:ind w:left="783" w:hanging="783"/>
        <w:jc w:val="both"/>
        <w:rPr>
          <w:rFonts w:ascii="Book Antiqua" w:hAnsi="Book Antiqua" w:cs="Arial"/>
          <w:b/>
          <w:bCs/>
          <w:szCs w:val="22"/>
        </w:rPr>
      </w:pPr>
    </w:p>
    <w:p w14:paraId="57A1E49B" w14:textId="77777777" w:rsidR="004437C9" w:rsidRDefault="004437C9" w:rsidP="00423304">
      <w:pPr>
        <w:ind w:left="783" w:hanging="783"/>
        <w:jc w:val="both"/>
        <w:rPr>
          <w:rFonts w:ascii="Book Antiqua" w:hAnsi="Book Antiqua" w:cs="Arial"/>
          <w:b/>
          <w:bCs/>
          <w:szCs w:val="22"/>
        </w:rPr>
      </w:pPr>
    </w:p>
    <w:p w14:paraId="450B23A5" w14:textId="77777777" w:rsidR="004437C9" w:rsidRDefault="004437C9" w:rsidP="00423304">
      <w:pPr>
        <w:ind w:left="783" w:hanging="783"/>
        <w:jc w:val="both"/>
        <w:rPr>
          <w:rFonts w:ascii="Book Antiqua" w:hAnsi="Book Antiqua" w:cs="Arial"/>
          <w:b/>
          <w:bCs/>
          <w:szCs w:val="22"/>
        </w:rPr>
      </w:pPr>
    </w:p>
    <w:p w14:paraId="16AEB28A" w14:textId="77777777" w:rsidR="004437C9" w:rsidRDefault="004437C9" w:rsidP="00423304">
      <w:pPr>
        <w:ind w:left="783" w:hanging="783"/>
        <w:jc w:val="both"/>
        <w:rPr>
          <w:rFonts w:ascii="Book Antiqua" w:hAnsi="Book Antiqua" w:cs="Arial"/>
          <w:b/>
          <w:bCs/>
          <w:szCs w:val="22"/>
        </w:rPr>
      </w:pPr>
    </w:p>
    <w:p w14:paraId="2A687F61" w14:textId="53101C6C" w:rsidR="00423304" w:rsidRPr="00592346" w:rsidRDefault="00423304" w:rsidP="00423304">
      <w:pPr>
        <w:ind w:left="783" w:hanging="783"/>
        <w:jc w:val="both"/>
        <w:rPr>
          <w:rFonts w:ascii="Book Antiqua" w:hAnsi="Book Antiqua" w:cs="Arial"/>
          <w:b/>
          <w:bCs/>
          <w:szCs w:val="22"/>
        </w:rPr>
      </w:pPr>
      <w:r w:rsidRPr="00592346">
        <w:rPr>
          <w:rFonts w:ascii="Book Antiqua" w:hAnsi="Book Antiqua" w:cs="Arial"/>
          <w:b/>
          <w:bCs/>
          <w:szCs w:val="22"/>
        </w:rPr>
        <w:t xml:space="preserve">1.0 </w:t>
      </w:r>
      <w:r w:rsidRPr="00592346">
        <w:rPr>
          <w:rFonts w:ascii="Book Antiqua" w:hAnsi="Book Antiqua" w:cs="Arial"/>
          <w:b/>
          <w:bCs/>
          <w:szCs w:val="22"/>
        </w:rPr>
        <w:t>Code of Integrity for Public Procurement</w:t>
      </w:r>
    </w:p>
    <w:p w14:paraId="05EB6CD5" w14:textId="77777777" w:rsidR="00423304" w:rsidRPr="00592346" w:rsidRDefault="00423304" w:rsidP="00423304">
      <w:pPr>
        <w:jc w:val="both"/>
        <w:rPr>
          <w:rFonts w:ascii="Book Antiqua" w:hAnsi="Book Antiqua" w:cs="Arial"/>
          <w:b/>
          <w:bCs/>
          <w:szCs w:val="22"/>
        </w:rPr>
      </w:pPr>
    </w:p>
    <w:p w14:paraId="33BACA85" w14:textId="77777777" w:rsidR="00423304" w:rsidRPr="00592346" w:rsidRDefault="00423304" w:rsidP="00423304">
      <w:pPr>
        <w:ind w:left="783" w:hanging="783"/>
        <w:jc w:val="both"/>
        <w:rPr>
          <w:rFonts w:ascii="Book Antiqua" w:hAnsi="Book Antiqua" w:cs="Arial"/>
          <w:szCs w:val="22"/>
        </w:rPr>
      </w:pPr>
      <w:r w:rsidRPr="00592346">
        <w:rPr>
          <w:rFonts w:ascii="Book Antiqua" w:hAnsi="Book Antiqua" w:cs="Arial"/>
          <w:szCs w:val="22"/>
        </w:rPr>
        <w:t>1.1</w:t>
      </w:r>
      <w:r w:rsidRPr="00592346">
        <w:rPr>
          <w:rFonts w:ascii="Book Antiqua" w:hAnsi="Book Antiqua" w:cs="Arial"/>
          <w:szCs w:val="22"/>
        </w:rPr>
        <w:tab/>
        <w:t>Employer as well as bidders, suppliers, contractors and consultants should observe the highest standard of ethics and should not indulge in the following prohibited practices, either directly or indirectly, at any stage during the procurement process or during execution of resultant contracts:</w:t>
      </w:r>
    </w:p>
    <w:p w14:paraId="1FF8316D" w14:textId="77777777" w:rsidR="00423304" w:rsidRPr="00592346" w:rsidRDefault="00423304" w:rsidP="00423304">
      <w:pPr>
        <w:jc w:val="both"/>
        <w:rPr>
          <w:rFonts w:ascii="Book Antiqua" w:hAnsi="Book Antiqua" w:cs="Arial"/>
          <w:b/>
          <w:bCs/>
          <w:szCs w:val="22"/>
        </w:rPr>
      </w:pPr>
    </w:p>
    <w:p w14:paraId="0F8CE5A9" w14:textId="77777777" w:rsidR="00423304" w:rsidRPr="00592346" w:rsidRDefault="00423304" w:rsidP="00423304">
      <w:pPr>
        <w:ind w:left="1350" w:hanging="567"/>
        <w:jc w:val="both"/>
        <w:rPr>
          <w:rFonts w:ascii="Book Antiqua" w:hAnsi="Book Antiqua" w:cs="Arial"/>
          <w:szCs w:val="22"/>
        </w:rPr>
      </w:pPr>
      <w:r w:rsidRPr="00592346">
        <w:rPr>
          <w:rFonts w:ascii="Book Antiqua" w:hAnsi="Book Antiqua" w:cs="Arial"/>
          <w:szCs w:val="22"/>
        </w:rPr>
        <w:t xml:space="preserve">i) </w:t>
      </w:r>
      <w:r w:rsidRPr="00592346">
        <w:rPr>
          <w:rFonts w:ascii="Book Antiqua" w:hAnsi="Book Antiqua" w:cs="Arial"/>
          <w:szCs w:val="22"/>
        </w:rPr>
        <w:tab/>
        <w:t>“Corrupt practice”: making offers, solicitation or acceptance of bribe, rewards or gifts or any material benefit, in exchange for an unfair advantage in the procurement process or to otherwise influence the procurement process or contract execution;</w:t>
      </w:r>
    </w:p>
    <w:p w14:paraId="2B534DAD" w14:textId="77777777" w:rsidR="00423304" w:rsidRPr="00592346" w:rsidRDefault="00423304" w:rsidP="00423304">
      <w:pPr>
        <w:ind w:left="1350" w:hanging="567"/>
        <w:jc w:val="both"/>
        <w:rPr>
          <w:rFonts w:ascii="Book Antiqua" w:hAnsi="Book Antiqua" w:cs="Arial"/>
          <w:szCs w:val="22"/>
        </w:rPr>
      </w:pPr>
    </w:p>
    <w:p w14:paraId="35D7B20D" w14:textId="77777777" w:rsidR="00423304" w:rsidRPr="00592346" w:rsidRDefault="00423304" w:rsidP="00423304">
      <w:pPr>
        <w:ind w:left="1350" w:hanging="567"/>
        <w:jc w:val="both"/>
        <w:rPr>
          <w:rFonts w:ascii="Book Antiqua" w:hAnsi="Book Antiqua" w:cs="Arial"/>
          <w:szCs w:val="22"/>
        </w:rPr>
      </w:pPr>
      <w:r w:rsidRPr="00592346">
        <w:rPr>
          <w:rFonts w:ascii="Book Antiqua" w:hAnsi="Book Antiqua" w:cs="Arial"/>
          <w:szCs w:val="22"/>
        </w:rPr>
        <w:t xml:space="preserve">ii) </w:t>
      </w:r>
      <w:r w:rsidRPr="00592346">
        <w:rPr>
          <w:rFonts w:ascii="Book Antiqua" w:hAnsi="Book Antiqua" w:cs="Arial"/>
          <w:szCs w:val="22"/>
        </w:rPr>
        <w:tab/>
        <w:t>“Fraudulent practice”: any omission or misrepresentation that may mislead or attempt to mislead so that financial or other benefits may be obtained or an obligation avoided. This includes making false declaration or providing false information for participation in a tender process or to secure a contract or in execution of the contract;</w:t>
      </w:r>
    </w:p>
    <w:p w14:paraId="2ED66C26" w14:textId="77777777" w:rsidR="00423304" w:rsidRPr="00592346" w:rsidRDefault="00423304" w:rsidP="00423304">
      <w:pPr>
        <w:ind w:left="1350" w:hanging="567"/>
        <w:jc w:val="both"/>
        <w:rPr>
          <w:rFonts w:ascii="Book Antiqua" w:hAnsi="Book Antiqua" w:cs="Arial"/>
          <w:szCs w:val="22"/>
        </w:rPr>
      </w:pPr>
    </w:p>
    <w:p w14:paraId="72FFB5F5" w14:textId="77777777" w:rsidR="00423304" w:rsidRPr="00592346" w:rsidRDefault="00423304" w:rsidP="00423304">
      <w:pPr>
        <w:ind w:left="1350" w:hanging="567"/>
        <w:jc w:val="both"/>
        <w:rPr>
          <w:rFonts w:ascii="Book Antiqua" w:hAnsi="Book Antiqua" w:cs="Arial"/>
          <w:szCs w:val="22"/>
        </w:rPr>
      </w:pPr>
      <w:r w:rsidRPr="00592346">
        <w:rPr>
          <w:rFonts w:ascii="Book Antiqua" w:hAnsi="Book Antiqua" w:cs="Arial"/>
          <w:szCs w:val="22"/>
        </w:rPr>
        <w:t xml:space="preserve">iii) </w:t>
      </w:r>
      <w:r w:rsidRPr="00592346">
        <w:rPr>
          <w:rFonts w:ascii="Book Antiqua" w:hAnsi="Book Antiqua" w:cs="Arial"/>
          <w:szCs w:val="22"/>
        </w:rPr>
        <w:tab/>
        <w:t>“Anti-competitive practice”: any collusion, bid rigging or anti-competitive arrangement, or any other practice coming under the purview of The Competition Act, 2002, between two or more bidders, with or without the knowledge of the Employer, that may impair the transparency, fairness and the progress of the procurement process or to establish bid prices at artificial, non-competitive levels;</w:t>
      </w:r>
    </w:p>
    <w:p w14:paraId="56F47522" w14:textId="77777777" w:rsidR="00423304" w:rsidRPr="00592346" w:rsidRDefault="00423304" w:rsidP="00423304">
      <w:pPr>
        <w:ind w:left="1350" w:hanging="567"/>
        <w:jc w:val="both"/>
        <w:rPr>
          <w:rFonts w:ascii="Book Antiqua" w:hAnsi="Book Antiqua" w:cs="Arial"/>
          <w:szCs w:val="22"/>
        </w:rPr>
      </w:pPr>
    </w:p>
    <w:p w14:paraId="7B3E8060" w14:textId="77777777" w:rsidR="00423304" w:rsidRPr="00592346" w:rsidRDefault="00423304" w:rsidP="00423304">
      <w:pPr>
        <w:ind w:left="1350" w:hanging="567"/>
        <w:jc w:val="both"/>
        <w:rPr>
          <w:rFonts w:ascii="Book Antiqua" w:hAnsi="Book Antiqua" w:cs="Arial"/>
          <w:szCs w:val="22"/>
        </w:rPr>
      </w:pPr>
      <w:r w:rsidRPr="00592346">
        <w:rPr>
          <w:rFonts w:ascii="Book Antiqua" w:hAnsi="Book Antiqua" w:cs="Arial"/>
          <w:szCs w:val="22"/>
        </w:rPr>
        <w:t xml:space="preserve">iv) </w:t>
      </w:r>
      <w:r w:rsidRPr="00592346">
        <w:rPr>
          <w:rFonts w:ascii="Book Antiqua" w:hAnsi="Book Antiqua" w:cs="Arial"/>
          <w:szCs w:val="22"/>
        </w:rPr>
        <w:tab/>
        <w:t>“Coercive practice”: harming or threatening to harm, persons or their property to influence their participation in the procurement process or affect the execution of a contract;</w:t>
      </w:r>
    </w:p>
    <w:p w14:paraId="27CFD9B7" w14:textId="77777777" w:rsidR="00423304" w:rsidRPr="00592346" w:rsidRDefault="00423304" w:rsidP="00423304">
      <w:pPr>
        <w:ind w:left="1350" w:hanging="567"/>
        <w:jc w:val="both"/>
        <w:rPr>
          <w:rFonts w:ascii="Book Antiqua" w:hAnsi="Book Antiqua" w:cs="Arial"/>
          <w:szCs w:val="22"/>
        </w:rPr>
      </w:pPr>
    </w:p>
    <w:p w14:paraId="6BDFF840" w14:textId="77777777" w:rsidR="00423304" w:rsidRPr="00592346" w:rsidRDefault="00423304" w:rsidP="00423304">
      <w:pPr>
        <w:ind w:left="1350" w:hanging="567"/>
        <w:jc w:val="both"/>
        <w:rPr>
          <w:rFonts w:ascii="Book Antiqua" w:hAnsi="Book Antiqua" w:cs="Arial"/>
          <w:szCs w:val="22"/>
        </w:rPr>
      </w:pPr>
      <w:r w:rsidRPr="00592346">
        <w:rPr>
          <w:rFonts w:ascii="Book Antiqua" w:hAnsi="Book Antiqua" w:cs="Arial"/>
          <w:szCs w:val="22"/>
        </w:rPr>
        <w:t xml:space="preserve">v) </w:t>
      </w:r>
      <w:r w:rsidRPr="00592346">
        <w:rPr>
          <w:rFonts w:ascii="Book Antiqua" w:hAnsi="Book Antiqua" w:cs="Arial"/>
          <w:szCs w:val="22"/>
        </w:rPr>
        <w:tab/>
        <w:t>“Conflict of interest”: any personal, financial, or business relationship between the bidder and any personnel of the procuring entity who are directly or indirectly related to the procurement or execution process of the contract, which can affect the decision of the procuring entity directly or indirectly.</w:t>
      </w:r>
    </w:p>
    <w:p w14:paraId="0A43A6FD" w14:textId="77777777" w:rsidR="00423304" w:rsidRPr="00592346" w:rsidRDefault="00423304" w:rsidP="00423304">
      <w:pPr>
        <w:ind w:left="1350" w:hanging="567"/>
        <w:jc w:val="both"/>
        <w:rPr>
          <w:rFonts w:ascii="Book Antiqua" w:hAnsi="Book Antiqua" w:cs="Arial"/>
          <w:szCs w:val="22"/>
        </w:rPr>
      </w:pPr>
    </w:p>
    <w:p w14:paraId="6069F593" w14:textId="77777777" w:rsidR="00423304" w:rsidRPr="00592346" w:rsidRDefault="00423304" w:rsidP="00423304">
      <w:pPr>
        <w:ind w:left="1350" w:hanging="567"/>
        <w:jc w:val="both"/>
        <w:rPr>
          <w:rFonts w:ascii="Book Antiqua" w:hAnsi="Book Antiqua" w:cs="Arial"/>
          <w:szCs w:val="22"/>
        </w:rPr>
      </w:pPr>
      <w:r w:rsidRPr="00592346">
        <w:rPr>
          <w:rFonts w:ascii="Book Antiqua" w:hAnsi="Book Antiqua" w:cs="Arial"/>
          <w:szCs w:val="22"/>
        </w:rPr>
        <w:lastRenderedPageBreak/>
        <w:t>vi)</w:t>
      </w:r>
      <w:r w:rsidRPr="00592346">
        <w:rPr>
          <w:rFonts w:ascii="Book Antiqua" w:hAnsi="Book Antiqua" w:cs="Arial"/>
          <w:szCs w:val="22"/>
        </w:rPr>
        <w:tab/>
        <w:t>“Undue Advantage”: improper use of information obtained by the bidder from the procuring entity with an intent to gain an unfair advantage in the procurement process or for personal gain. This also includes if the bidder (or his allied firm) provided services for the need assessment/ procurement planning of the tender process in which it is participating;</w:t>
      </w:r>
    </w:p>
    <w:p w14:paraId="5BFEF50C" w14:textId="77777777" w:rsidR="00423304" w:rsidRPr="00592346" w:rsidRDefault="00423304" w:rsidP="00423304">
      <w:pPr>
        <w:ind w:left="1350" w:hanging="567"/>
        <w:jc w:val="both"/>
        <w:rPr>
          <w:rFonts w:ascii="Book Antiqua" w:hAnsi="Book Antiqua" w:cs="Arial"/>
          <w:szCs w:val="22"/>
        </w:rPr>
      </w:pPr>
    </w:p>
    <w:p w14:paraId="5F0BB5BC" w14:textId="77777777" w:rsidR="00423304" w:rsidRPr="00592346" w:rsidRDefault="00423304" w:rsidP="00423304">
      <w:pPr>
        <w:ind w:left="1350" w:hanging="567"/>
        <w:jc w:val="both"/>
        <w:rPr>
          <w:rFonts w:ascii="Book Antiqua" w:hAnsi="Book Antiqua" w:cs="Arial"/>
          <w:szCs w:val="22"/>
        </w:rPr>
      </w:pPr>
      <w:r w:rsidRPr="00592346">
        <w:rPr>
          <w:rFonts w:ascii="Book Antiqua" w:hAnsi="Book Antiqua" w:cs="Arial"/>
          <w:szCs w:val="22"/>
        </w:rPr>
        <w:t xml:space="preserve">vii) </w:t>
      </w:r>
      <w:r w:rsidRPr="00592346">
        <w:rPr>
          <w:rFonts w:ascii="Book Antiqua" w:hAnsi="Book Antiqua" w:cs="Arial"/>
          <w:szCs w:val="22"/>
        </w:rPr>
        <w:tab/>
        <w:t>“Obstructive practice”: materially impede the Employer’s investigation into allegations of one or more of the above mentioned prohibited practices either by deliberately destroying, falsifying, altering; or by concealing of evidence material to the investigation; or by making false statements to investigators and/or by threatening, harassing or intimidating any party to prevent it from disclosing its knowledge of matters relevant to the investigation or from pursuing the investigation; or by impeding the Employer’s rights of audit or access to information.</w:t>
      </w:r>
    </w:p>
    <w:p w14:paraId="5F47C81C" w14:textId="77777777" w:rsidR="00423304" w:rsidRPr="00592346" w:rsidRDefault="00423304" w:rsidP="00423304">
      <w:pPr>
        <w:jc w:val="both"/>
        <w:rPr>
          <w:rFonts w:ascii="Book Antiqua" w:hAnsi="Book Antiqua" w:cs="Arial"/>
          <w:b/>
          <w:bCs/>
          <w:szCs w:val="22"/>
        </w:rPr>
      </w:pPr>
    </w:p>
    <w:p w14:paraId="5FD4B9B4" w14:textId="77777777" w:rsidR="00423304" w:rsidRPr="00592346" w:rsidRDefault="00423304" w:rsidP="00423304">
      <w:pPr>
        <w:ind w:left="783" w:hanging="783"/>
        <w:jc w:val="both"/>
        <w:rPr>
          <w:rFonts w:ascii="Book Antiqua" w:hAnsi="Book Antiqua" w:cs="Arial"/>
          <w:b/>
          <w:bCs/>
          <w:szCs w:val="22"/>
        </w:rPr>
      </w:pPr>
      <w:r w:rsidRPr="00592346">
        <w:rPr>
          <w:rFonts w:ascii="Book Antiqua" w:hAnsi="Book Antiqua" w:cs="Arial"/>
          <w:b/>
          <w:bCs/>
          <w:szCs w:val="22"/>
        </w:rPr>
        <w:t>1.2</w:t>
      </w:r>
      <w:r w:rsidRPr="00592346">
        <w:rPr>
          <w:rFonts w:ascii="Book Antiqua" w:hAnsi="Book Antiqua" w:cs="Arial"/>
          <w:b/>
          <w:bCs/>
          <w:szCs w:val="22"/>
        </w:rPr>
        <w:tab/>
        <w:t xml:space="preserve">Obligations for Proactive Disclosures </w:t>
      </w:r>
    </w:p>
    <w:p w14:paraId="7EE51EEE" w14:textId="77777777" w:rsidR="00423304" w:rsidRPr="00592346" w:rsidRDefault="00423304" w:rsidP="00423304">
      <w:pPr>
        <w:ind w:left="783" w:hanging="783"/>
        <w:jc w:val="both"/>
        <w:rPr>
          <w:rFonts w:ascii="Book Antiqua" w:hAnsi="Book Antiqua" w:cs="Arial"/>
          <w:szCs w:val="22"/>
        </w:rPr>
      </w:pPr>
    </w:p>
    <w:p w14:paraId="36E089EC" w14:textId="77777777" w:rsidR="00423304" w:rsidRPr="00592346" w:rsidRDefault="00423304" w:rsidP="00423304">
      <w:pPr>
        <w:ind w:left="1350" w:hanging="567"/>
        <w:jc w:val="both"/>
        <w:rPr>
          <w:rFonts w:ascii="Book Antiqua" w:hAnsi="Book Antiqua" w:cs="Arial"/>
          <w:szCs w:val="22"/>
        </w:rPr>
      </w:pPr>
      <w:r w:rsidRPr="00592346">
        <w:rPr>
          <w:rFonts w:ascii="Book Antiqua" w:hAnsi="Book Antiqua" w:cs="Arial"/>
          <w:szCs w:val="22"/>
        </w:rPr>
        <w:t xml:space="preserve">i) </w:t>
      </w:r>
      <w:r w:rsidRPr="00592346">
        <w:rPr>
          <w:rFonts w:ascii="Book Antiqua" w:hAnsi="Book Antiqua" w:cs="Arial"/>
          <w:szCs w:val="22"/>
        </w:rPr>
        <w:tab/>
        <w:t xml:space="preserve">POWERGRID as well as bidders, suppliers, contractors and consultants, are obliged under Code of Integrity for Public Procurement to suo-moto proactively declare any conflicts of interest (coming under the definition mentioned above – pre-existing or as and as soon as these arise at any stage) in any procurement process or execution of contract. Failure to do so would amount to violation of this code of integrity; and </w:t>
      </w:r>
    </w:p>
    <w:p w14:paraId="5F17E724" w14:textId="77777777" w:rsidR="00423304" w:rsidRPr="00592346" w:rsidRDefault="00423304" w:rsidP="00423304">
      <w:pPr>
        <w:ind w:left="783" w:hanging="783"/>
        <w:jc w:val="both"/>
        <w:rPr>
          <w:rFonts w:ascii="Book Antiqua" w:hAnsi="Book Antiqua" w:cs="Arial"/>
          <w:szCs w:val="22"/>
        </w:rPr>
      </w:pPr>
    </w:p>
    <w:p w14:paraId="330B4A10" w14:textId="77777777" w:rsidR="00423304" w:rsidRPr="00592346" w:rsidRDefault="00423304" w:rsidP="00423304">
      <w:pPr>
        <w:ind w:left="1350" w:hanging="567"/>
        <w:jc w:val="both"/>
        <w:rPr>
          <w:rFonts w:ascii="Book Antiqua" w:hAnsi="Book Antiqua" w:cs="Arial"/>
          <w:szCs w:val="22"/>
        </w:rPr>
      </w:pPr>
      <w:r w:rsidRPr="00592346">
        <w:rPr>
          <w:rFonts w:ascii="Book Antiqua" w:hAnsi="Book Antiqua" w:cs="Arial"/>
          <w:szCs w:val="22"/>
        </w:rPr>
        <w:t xml:space="preserve">ii) </w:t>
      </w:r>
      <w:r w:rsidRPr="00592346">
        <w:rPr>
          <w:rFonts w:ascii="Book Antiqua" w:hAnsi="Book Antiqua" w:cs="Arial"/>
          <w:szCs w:val="22"/>
        </w:rPr>
        <w:tab/>
        <w:t xml:space="preserve">Any bidder must declare, whether asked or not in a bid document, any previous transgressions of such a code of integrity with any entity in any country during the last three years or of being debarred by any other procuring entity. Failure to do so would amount to violation of this code of integrity. </w:t>
      </w:r>
    </w:p>
    <w:p w14:paraId="53251690" w14:textId="77777777" w:rsidR="00423304" w:rsidRPr="00592346" w:rsidRDefault="00423304" w:rsidP="00423304">
      <w:pPr>
        <w:ind w:left="783" w:hanging="783"/>
        <w:jc w:val="both"/>
        <w:rPr>
          <w:rFonts w:ascii="Book Antiqua" w:hAnsi="Book Antiqua" w:cs="Arial"/>
          <w:szCs w:val="22"/>
        </w:rPr>
      </w:pPr>
    </w:p>
    <w:p w14:paraId="50DF687B" w14:textId="77777777" w:rsidR="00423304" w:rsidRPr="00592346" w:rsidRDefault="00423304" w:rsidP="00423304">
      <w:pPr>
        <w:ind w:left="1350" w:hanging="567"/>
        <w:jc w:val="both"/>
        <w:rPr>
          <w:rFonts w:ascii="Book Antiqua" w:hAnsi="Book Antiqua" w:cs="Arial"/>
          <w:szCs w:val="22"/>
        </w:rPr>
      </w:pPr>
      <w:r w:rsidRPr="00592346">
        <w:rPr>
          <w:rFonts w:ascii="Book Antiqua" w:hAnsi="Book Antiqua" w:cs="Arial"/>
          <w:szCs w:val="22"/>
        </w:rPr>
        <w:t xml:space="preserve">iii) </w:t>
      </w:r>
      <w:r w:rsidRPr="00592346">
        <w:rPr>
          <w:rFonts w:ascii="Book Antiqua" w:hAnsi="Book Antiqua" w:cs="Arial"/>
          <w:szCs w:val="22"/>
        </w:rPr>
        <w:tab/>
        <w:t>To encourage voluntary disclosures, such declarations would not mean automatic disqualification for the bidder making such declarations. The declared conflict of interest may be evaluated and mitigation steps, if possible, may be taken by POWERGRID. Similarly voluntary reporting of previous transgressions of Code of Integrity elsewhere may be evaluated and barring cases of various grades of debarment, an alert watch may be kept on the bidder’s actions in the tender and subsequent contract.</w:t>
      </w:r>
    </w:p>
    <w:p w14:paraId="25B80C2E" w14:textId="77777777" w:rsidR="00423304" w:rsidRPr="00592346" w:rsidRDefault="00423304" w:rsidP="00423304">
      <w:pPr>
        <w:jc w:val="both"/>
        <w:rPr>
          <w:rFonts w:ascii="Book Antiqua" w:hAnsi="Book Antiqua" w:cs="Arial"/>
          <w:b/>
          <w:bCs/>
          <w:szCs w:val="22"/>
        </w:rPr>
      </w:pPr>
    </w:p>
    <w:p w14:paraId="20B7FDDB" w14:textId="77777777" w:rsidR="00423304" w:rsidRPr="00592346" w:rsidRDefault="00423304" w:rsidP="00423304">
      <w:pPr>
        <w:ind w:left="783" w:hanging="783"/>
        <w:jc w:val="both"/>
        <w:rPr>
          <w:rFonts w:ascii="Book Antiqua" w:hAnsi="Book Antiqua" w:cs="Arial"/>
          <w:szCs w:val="22"/>
        </w:rPr>
      </w:pPr>
      <w:r w:rsidRPr="00592346">
        <w:rPr>
          <w:rFonts w:ascii="Book Antiqua" w:hAnsi="Book Antiqua" w:cs="Arial"/>
          <w:b/>
          <w:bCs/>
          <w:szCs w:val="22"/>
        </w:rPr>
        <w:t>1.3</w:t>
      </w:r>
      <w:r w:rsidRPr="00592346">
        <w:rPr>
          <w:rFonts w:ascii="Book Antiqua" w:hAnsi="Book Antiqua" w:cs="Arial"/>
          <w:b/>
          <w:bCs/>
          <w:szCs w:val="22"/>
        </w:rPr>
        <w:tab/>
        <w:t xml:space="preserve">Punitive Provisions: </w:t>
      </w:r>
      <w:r w:rsidRPr="00592346">
        <w:rPr>
          <w:rFonts w:ascii="Book Antiqua" w:hAnsi="Book Antiqua" w:cs="Arial"/>
          <w:szCs w:val="22"/>
        </w:rPr>
        <w:t>Without prejudice to and in addition to the rights of POWERGRID to other penal provisions as per the Bidding Documents or Contract, if POWERGRID comes to a conclusion that a (prospective) bidder/supplier, directly or through an agent, has violated this code of integrity in competing for the contract or in executing a contract, POWERGRID may take appropriate measures including one or more of the following:</w:t>
      </w:r>
    </w:p>
    <w:p w14:paraId="06D61276" w14:textId="77777777" w:rsidR="00423304" w:rsidRPr="00592346" w:rsidRDefault="00423304" w:rsidP="00423304">
      <w:pPr>
        <w:ind w:left="1350" w:hanging="567"/>
        <w:jc w:val="both"/>
        <w:rPr>
          <w:rFonts w:ascii="Book Antiqua" w:hAnsi="Book Antiqua" w:cs="Arial"/>
          <w:szCs w:val="22"/>
        </w:rPr>
      </w:pPr>
      <w:r w:rsidRPr="00592346">
        <w:rPr>
          <w:rFonts w:ascii="Book Antiqua" w:hAnsi="Book Antiqua" w:cs="Arial"/>
          <w:szCs w:val="22"/>
        </w:rPr>
        <w:t xml:space="preserve">i) </w:t>
      </w:r>
      <w:r w:rsidRPr="00592346">
        <w:rPr>
          <w:rFonts w:ascii="Book Antiqua" w:hAnsi="Book Antiqua" w:cs="Arial"/>
          <w:szCs w:val="22"/>
        </w:rPr>
        <w:tab/>
        <w:t>if the bid(s) is under consideration in any procurement</w:t>
      </w:r>
    </w:p>
    <w:p w14:paraId="5D8EEAB1" w14:textId="77777777" w:rsidR="00423304" w:rsidRPr="00592346" w:rsidRDefault="00423304" w:rsidP="00423304">
      <w:pPr>
        <w:ind w:left="1917" w:hanging="567"/>
        <w:jc w:val="both"/>
        <w:rPr>
          <w:rFonts w:ascii="Book Antiqua" w:hAnsi="Book Antiqua" w:cs="Arial"/>
          <w:szCs w:val="22"/>
        </w:rPr>
      </w:pPr>
      <w:r w:rsidRPr="00592346">
        <w:rPr>
          <w:rFonts w:ascii="Book Antiqua" w:hAnsi="Book Antiqua" w:cs="Arial"/>
          <w:szCs w:val="22"/>
        </w:rPr>
        <w:t xml:space="preserve">a) </w:t>
      </w:r>
      <w:r w:rsidRPr="00592346">
        <w:rPr>
          <w:rFonts w:ascii="Book Antiqua" w:hAnsi="Book Antiqua" w:cs="Arial"/>
          <w:szCs w:val="22"/>
        </w:rPr>
        <w:tab/>
        <w:t>Forfeiture or encashment of Bid Security</w:t>
      </w:r>
    </w:p>
    <w:p w14:paraId="4ECE807C" w14:textId="77777777" w:rsidR="00423304" w:rsidRPr="00592346" w:rsidRDefault="00423304" w:rsidP="00423304">
      <w:pPr>
        <w:ind w:left="1917" w:hanging="567"/>
        <w:jc w:val="both"/>
        <w:rPr>
          <w:rFonts w:ascii="Book Antiqua" w:hAnsi="Book Antiqua" w:cs="Arial"/>
          <w:szCs w:val="22"/>
        </w:rPr>
      </w:pPr>
      <w:r w:rsidRPr="00592346">
        <w:rPr>
          <w:rFonts w:ascii="Book Antiqua" w:hAnsi="Book Antiqua" w:cs="Arial"/>
          <w:szCs w:val="22"/>
        </w:rPr>
        <w:t xml:space="preserve">b) </w:t>
      </w:r>
      <w:r w:rsidRPr="00592346">
        <w:rPr>
          <w:rFonts w:ascii="Book Antiqua" w:hAnsi="Book Antiqua" w:cs="Arial"/>
          <w:szCs w:val="22"/>
        </w:rPr>
        <w:tab/>
        <w:t>calling off of any pre-contract negotiations, and;</w:t>
      </w:r>
    </w:p>
    <w:p w14:paraId="6323FC5F" w14:textId="77777777" w:rsidR="00423304" w:rsidRPr="00592346" w:rsidRDefault="00423304" w:rsidP="00423304">
      <w:pPr>
        <w:ind w:left="1917" w:hanging="567"/>
        <w:jc w:val="both"/>
        <w:rPr>
          <w:rFonts w:ascii="Book Antiqua" w:hAnsi="Book Antiqua" w:cs="Arial"/>
          <w:szCs w:val="22"/>
        </w:rPr>
      </w:pPr>
      <w:r w:rsidRPr="00592346">
        <w:rPr>
          <w:rFonts w:ascii="Book Antiqua" w:hAnsi="Book Antiqua" w:cs="Arial"/>
          <w:szCs w:val="22"/>
        </w:rPr>
        <w:t xml:space="preserve">c) </w:t>
      </w:r>
      <w:r w:rsidRPr="00592346">
        <w:rPr>
          <w:rFonts w:ascii="Book Antiqua" w:hAnsi="Book Antiqua" w:cs="Arial"/>
          <w:szCs w:val="22"/>
        </w:rPr>
        <w:tab/>
        <w:t>rejection and exclusion of the bidder from the procurement process</w:t>
      </w:r>
    </w:p>
    <w:p w14:paraId="6848286C" w14:textId="77777777" w:rsidR="00423304" w:rsidRPr="00592346" w:rsidRDefault="00423304" w:rsidP="00423304">
      <w:pPr>
        <w:ind w:left="1350" w:hanging="567"/>
        <w:jc w:val="both"/>
        <w:rPr>
          <w:rFonts w:ascii="Book Antiqua" w:hAnsi="Book Antiqua" w:cs="Arial"/>
          <w:szCs w:val="22"/>
        </w:rPr>
      </w:pPr>
      <w:r w:rsidRPr="00592346">
        <w:rPr>
          <w:rFonts w:ascii="Book Antiqua" w:hAnsi="Book Antiqua" w:cs="Arial"/>
          <w:szCs w:val="22"/>
        </w:rPr>
        <w:t xml:space="preserve">ii) </w:t>
      </w:r>
      <w:r w:rsidRPr="00592346">
        <w:rPr>
          <w:rFonts w:ascii="Book Antiqua" w:hAnsi="Book Antiqua" w:cs="Arial"/>
          <w:szCs w:val="22"/>
        </w:rPr>
        <w:tab/>
        <w:t>if a contract has already been awarded</w:t>
      </w:r>
    </w:p>
    <w:p w14:paraId="3343A29C" w14:textId="77777777" w:rsidR="00423304" w:rsidRPr="00592346" w:rsidRDefault="00423304" w:rsidP="00423304">
      <w:pPr>
        <w:ind w:left="1917" w:hanging="567"/>
        <w:jc w:val="both"/>
        <w:rPr>
          <w:rFonts w:ascii="Book Antiqua" w:hAnsi="Book Antiqua" w:cs="Arial"/>
          <w:szCs w:val="22"/>
        </w:rPr>
      </w:pPr>
      <w:r w:rsidRPr="00592346">
        <w:rPr>
          <w:rFonts w:ascii="Book Antiqua" w:hAnsi="Book Antiqua" w:cs="Arial"/>
          <w:szCs w:val="22"/>
        </w:rPr>
        <w:t xml:space="preserve">a) </w:t>
      </w:r>
      <w:r w:rsidRPr="00592346">
        <w:rPr>
          <w:rFonts w:ascii="Book Antiqua" w:hAnsi="Book Antiqua" w:cs="Arial"/>
          <w:szCs w:val="22"/>
        </w:rPr>
        <w:tab/>
        <w:t>Cancellation/termination of the contract in question;</w:t>
      </w:r>
    </w:p>
    <w:p w14:paraId="44C1F950" w14:textId="77777777" w:rsidR="00423304" w:rsidRPr="00592346" w:rsidRDefault="00423304" w:rsidP="00423304">
      <w:pPr>
        <w:ind w:left="1917" w:hanging="567"/>
        <w:jc w:val="both"/>
        <w:rPr>
          <w:rFonts w:ascii="Book Antiqua" w:hAnsi="Book Antiqua" w:cs="Arial"/>
          <w:szCs w:val="22"/>
        </w:rPr>
      </w:pPr>
      <w:r w:rsidRPr="00592346">
        <w:rPr>
          <w:rFonts w:ascii="Book Antiqua" w:hAnsi="Book Antiqua" w:cs="Arial"/>
          <w:szCs w:val="22"/>
        </w:rPr>
        <w:t xml:space="preserve">b) </w:t>
      </w:r>
      <w:r w:rsidRPr="00592346">
        <w:rPr>
          <w:rFonts w:ascii="Book Antiqua" w:hAnsi="Book Antiqua" w:cs="Arial"/>
          <w:szCs w:val="22"/>
        </w:rPr>
        <w:tab/>
        <w:t>Forfeiture or encashment of Contract Performance Guarantee (CPG) of the contract in question;</w:t>
      </w:r>
    </w:p>
    <w:p w14:paraId="1A40386C" w14:textId="77777777" w:rsidR="00423304" w:rsidRPr="00592346" w:rsidRDefault="00423304" w:rsidP="00423304">
      <w:pPr>
        <w:ind w:left="1350" w:hanging="567"/>
        <w:jc w:val="both"/>
        <w:rPr>
          <w:rFonts w:ascii="Book Antiqua" w:hAnsi="Book Antiqua" w:cs="Arial"/>
          <w:szCs w:val="22"/>
        </w:rPr>
      </w:pPr>
      <w:r w:rsidRPr="00592346">
        <w:rPr>
          <w:rFonts w:ascii="Book Antiqua" w:hAnsi="Book Antiqua" w:cs="Arial"/>
          <w:szCs w:val="22"/>
        </w:rPr>
        <w:t xml:space="preserve">iii) </w:t>
      </w:r>
      <w:r w:rsidRPr="00592346">
        <w:rPr>
          <w:rFonts w:ascii="Book Antiqua" w:hAnsi="Book Antiqua" w:cs="Arial"/>
          <w:szCs w:val="22"/>
        </w:rPr>
        <w:tab/>
        <w:t>Provisions in addition to above:</w:t>
      </w:r>
    </w:p>
    <w:p w14:paraId="2CC1408E" w14:textId="77777777" w:rsidR="00423304" w:rsidRPr="00592346" w:rsidRDefault="00423304" w:rsidP="00423304">
      <w:pPr>
        <w:ind w:left="1917" w:hanging="567"/>
        <w:jc w:val="both"/>
        <w:rPr>
          <w:rFonts w:ascii="Book Antiqua" w:hAnsi="Book Antiqua" w:cs="Arial"/>
          <w:szCs w:val="22"/>
        </w:rPr>
      </w:pPr>
      <w:r w:rsidRPr="00592346">
        <w:rPr>
          <w:rFonts w:ascii="Book Antiqua" w:hAnsi="Book Antiqua" w:cs="Arial"/>
          <w:szCs w:val="22"/>
        </w:rPr>
        <w:t xml:space="preserve">a) </w:t>
      </w:r>
      <w:r w:rsidRPr="00592346">
        <w:rPr>
          <w:rFonts w:ascii="Book Antiqua" w:hAnsi="Book Antiqua" w:cs="Arial"/>
          <w:szCs w:val="22"/>
        </w:rPr>
        <w:tab/>
        <w:t xml:space="preserve">Removal from the list of registered suppliers and banning/debarment of the bidder/contractor from participation in future procurements in line with POWERGRID’s policy for </w:t>
      </w:r>
      <w:r w:rsidRPr="00592346">
        <w:rPr>
          <w:rFonts w:ascii="Book Antiqua" w:hAnsi="Book Antiqua" w:cs="Arial"/>
          <w:i/>
          <w:iCs/>
          <w:szCs w:val="22"/>
        </w:rPr>
        <w:t>“Black-Listing of Firms / Banning of Business</w:t>
      </w:r>
      <w:r w:rsidRPr="00592346">
        <w:rPr>
          <w:rFonts w:ascii="Book Antiqua" w:hAnsi="Book Antiqua" w:cs="Arial"/>
          <w:szCs w:val="22"/>
        </w:rPr>
        <w:t>”.</w:t>
      </w:r>
    </w:p>
    <w:p w14:paraId="0CD65FB4" w14:textId="77777777" w:rsidR="00423304" w:rsidRPr="00592346" w:rsidRDefault="00423304" w:rsidP="00423304">
      <w:pPr>
        <w:ind w:left="1917" w:hanging="567"/>
        <w:jc w:val="both"/>
        <w:rPr>
          <w:rFonts w:ascii="Book Antiqua" w:hAnsi="Book Antiqua" w:cs="Arial"/>
          <w:szCs w:val="22"/>
        </w:rPr>
      </w:pPr>
      <w:r w:rsidRPr="00592346">
        <w:rPr>
          <w:rFonts w:ascii="Book Antiqua" w:hAnsi="Book Antiqua" w:cs="Arial"/>
          <w:szCs w:val="22"/>
        </w:rPr>
        <w:t xml:space="preserve">b) </w:t>
      </w:r>
      <w:r w:rsidRPr="00592346">
        <w:rPr>
          <w:rFonts w:ascii="Book Antiqua" w:hAnsi="Book Antiqua" w:cs="Arial"/>
          <w:szCs w:val="22"/>
        </w:rPr>
        <w:tab/>
        <w:t>In case of anti-competitive practices, information for further processing may be filed with the Competition Commission of India;</w:t>
      </w:r>
    </w:p>
    <w:p w14:paraId="1722473F" w14:textId="77777777" w:rsidR="00423304" w:rsidRPr="00592346" w:rsidRDefault="00423304" w:rsidP="00423304">
      <w:pPr>
        <w:ind w:left="1917" w:hanging="567"/>
        <w:jc w:val="both"/>
        <w:rPr>
          <w:rFonts w:ascii="Book Antiqua" w:hAnsi="Book Antiqua" w:cs="Arial"/>
          <w:szCs w:val="22"/>
        </w:rPr>
      </w:pPr>
      <w:r w:rsidRPr="00592346">
        <w:rPr>
          <w:rFonts w:ascii="Book Antiqua" w:hAnsi="Book Antiqua" w:cs="Arial"/>
          <w:szCs w:val="22"/>
        </w:rPr>
        <w:t xml:space="preserve">c) </w:t>
      </w:r>
      <w:r w:rsidRPr="00592346">
        <w:rPr>
          <w:rFonts w:ascii="Book Antiqua" w:hAnsi="Book Antiqua" w:cs="Arial"/>
          <w:szCs w:val="22"/>
        </w:rPr>
        <w:tab/>
        <w:t>Initiation of suitable disciplinary or criminal proceedings against any individual or staff found responsible.</w:t>
      </w:r>
    </w:p>
    <w:p w14:paraId="2F761611" w14:textId="77777777" w:rsidR="00423304" w:rsidRPr="00592346" w:rsidRDefault="00423304" w:rsidP="00423304">
      <w:pPr>
        <w:ind w:left="783" w:hanging="783"/>
        <w:jc w:val="both"/>
        <w:rPr>
          <w:rFonts w:ascii="Book Antiqua" w:hAnsi="Book Antiqua" w:cs="Arial"/>
          <w:szCs w:val="22"/>
        </w:rPr>
      </w:pPr>
      <w:r w:rsidRPr="00592346">
        <w:rPr>
          <w:rFonts w:ascii="Book Antiqua" w:hAnsi="Book Antiqua" w:cs="Arial"/>
          <w:szCs w:val="22"/>
        </w:rPr>
        <w:t>1.4</w:t>
      </w:r>
      <w:r w:rsidRPr="00592346">
        <w:rPr>
          <w:rFonts w:ascii="Book Antiqua" w:hAnsi="Book Antiqua" w:cs="Arial"/>
          <w:szCs w:val="22"/>
        </w:rPr>
        <w:tab/>
        <w:t>In pursuance to this policy, the Employer will have the right to require that the provision be included in Bidding Documents and in contracts, requiring Bidders, suppliers, and contractors and their sub-contractors to permit the Employer to inspect their accounts and records and other documents relating to bid submission and contract performance under this project only and to have them audited by auditors appointed by the Employer.</w:t>
      </w:r>
    </w:p>
    <w:p w14:paraId="3C09282C" w14:textId="2DD53783" w:rsidR="00680BA4" w:rsidRPr="005E5ABB" w:rsidRDefault="00680BA4" w:rsidP="00BF2086">
      <w:pPr>
        <w:jc w:val="center"/>
        <w:rPr>
          <w:rFonts w:ascii="Tisa Offc Serif Pro" w:hAnsi="Tisa Offc Serif Pro" w:cs="Arial"/>
          <w:szCs w:val="22"/>
        </w:rPr>
      </w:pPr>
    </w:p>
    <w:sectPr w:rsidR="00680BA4" w:rsidRPr="005E5ABB">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AB71F" w14:textId="77777777" w:rsidR="00443CBC" w:rsidRDefault="00443CBC" w:rsidP="00B64E06">
      <w:pPr>
        <w:spacing w:after="0" w:line="240" w:lineRule="auto"/>
      </w:pPr>
      <w:r>
        <w:separator/>
      </w:r>
    </w:p>
  </w:endnote>
  <w:endnote w:type="continuationSeparator" w:id="0">
    <w:p w14:paraId="54711C42" w14:textId="77777777" w:rsidR="00443CBC" w:rsidRDefault="00443CBC" w:rsidP="00B64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Tisa Offc Serif Pro">
    <w:altName w:val="Tisa Offc Serif Pro"/>
    <w:charset w:val="00"/>
    <w:family w:val="auto"/>
    <w:pitch w:val="variable"/>
    <w:sig w:usb0="800002E7" w:usb1="00000002"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3379836"/>
      <w:docPartObj>
        <w:docPartGallery w:val="Page Numbers (Bottom of Page)"/>
        <w:docPartUnique/>
      </w:docPartObj>
    </w:sdtPr>
    <w:sdtEndPr/>
    <w:sdtContent>
      <w:sdt>
        <w:sdtPr>
          <w:id w:val="860082579"/>
          <w:docPartObj>
            <w:docPartGallery w:val="Page Numbers (Top of Page)"/>
            <w:docPartUnique/>
          </w:docPartObj>
        </w:sdtPr>
        <w:sdtEndPr/>
        <w:sdtContent>
          <w:p w14:paraId="0A378B4D" w14:textId="2EF8B545" w:rsidR="007133A3" w:rsidRDefault="007133A3" w:rsidP="007133A3">
            <w:pPr>
              <w:pStyle w:val="Footer"/>
              <w:jc w:val="right"/>
            </w:pPr>
            <w:r>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AE60A" w14:textId="77777777" w:rsidR="00443CBC" w:rsidRDefault="00443CBC" w:rsidP="00B64E06">
      <w:pPr>
        <w:spacing w:after="0" w:line="240" w:lineRule="auto"/>
      </w:pPr>
      <w:r>
        <w:separator/>
      </w:r>
    </w:p>
  </w:footnote>
  <w:footnote w:type="continuationSeparator" w:id="0">
    <w:p w14:paraId="61FAEA02" w14:textId="77777777" w:rsidR="00443CBC" w:rsidRDefault="00443CBC" w:rsidP="00B64E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7F2B3" w14:textId="2ACE2889" w:rsidR="001D2C66" w:rsidRPr="001D2C66" w:rsidRDefault="00693D9C" w:rsidP="005E5ABB">
    <w:pPr>
      <w:tabs>
        <w:tab w:val="left" w:pos="657"/>
      </w:tabs>
      <w:jc w:val="both"/>
      <w:rPr>
        <w:rFonts w:ascii="Tisa Offc Serif Pro" w:hAnsi="Tisa Offc Serif Pro" w:cs="Arial"/>
        <w:b/>
        <w:szCs w:val="22"/>
      </w:rPr>
    </w:pPr>
    <w:bookmarkStart w:id="1" w:name="_Hlk198283956"/>
    <w:bookmarkStart w:id="2" w:name="_Hlk198283957"/>
    <w:r w:rsidRPr="005E5ABB">
      <w:rPr>
        <w:rFonts w:ascii="Tisa Offc Serif Pro" w:hAnsi="Tisa Offc Serif Pro" w:cs="Arial"/>
        <w:b/>
        <w:szCs w:val="22"/>
      </w:rPr>
      <w:t>Specification No. :</w:t>
    </w:r>
    <w:r w:rsidRPr="005E5ABB">
      <w:rPr>
        <w:rFonts w:ascii="Tisa Offc Serif Pro" w:hAnsi="Tisa Offc Serif Pro" w:cs="Arial"/>
        <w:b/>
        <w:bCs/>
        <w:szCs w:val="22"/>
      </w:rPr>
      <w:t xml:space="preserve"> </w:t>
    </w:r>
    <w:r w:rsidR="004D6EAC" w:rsidRPr="0017505B">
      <w:rPr>
        <w:rFonts w:ascii="Book Antiqua" w:hAnsi="Book Antiqua" w:cs="Nirmala UI"/>
        <w:b/>
        <w:bCs/>
        <w:color w:val="0000FF"/>
        <w:szCs w:val="22"/>
      </w:rPr>
      <w:t>SR-I/C&amp;M/WC-4289/2025/Rfx-5002004632</w:t>
    </w:r>
    <w:r w:rsidRPr="005E5ABB">
      <w:rPr>
        <w:rFonts w:ascii="Tisa Offc Serif Pro" w:hAnsi="Tisa Offc Serif Pro" w:cs="Arial"/>
        <w:b/>
        <w:szCs w:val="22"/>
      </w:rPr>
      <w:tab/>
    </w:r>
    <w:r w:rsidRPr="005E5ABB">
      <w:rPr>
        <w:rFonts w:ascii="Tisa Offc Serif Pro" w:hAnsi="Tisa Offc Serif Pro" w:cs="Arial"/>
        <w:b/>
        <w:szCs w:val="22"/>
      </w:rPr>
      <w:tab/>
      <w:t>Attachment-</w:t>
    </w:r>
    <w:r w:rsidR="001D2C66">
      <w:rPr>
        <w:rFonts w:ascii="Tisa Offc Serif Pro" w:hAnsi="Tisa Offc Serif Pro" w:cs="Arial"/>
        <w:b/>
        <w:szCs w:val="22"/>
      </w:rPr>
      <w:t>29</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325728" o:spid="_x0000_i1026" type="#_x0000_t75" style="width:33pt;height:11.25pt;visibility:visible;mso-wrap-style:square" o:bullet="t">
        <v:imagedata r:id="rId1" o:title=""/>
      </v:shape>
    </w:pict>
  </w:numPicBullet>
  <w:abstractNum w:abstractNumId="0" w15:restartNumberingAfterBreak="0">
    <w:nsid w:val="34BB1598"/>
    <w:multiLevelType w:val="multilevel"/>
    <w:tmpl w:val="90DCD4D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70763BEE"/>
    <w:multiLevelType w:val="hybridMultilevel"/>
    <w:tmpl w:val="CC60FAAC"/>
    <w:lvl w:ilvl="0" w:tplc="46744E22">
      <w:start w:val="1"/>
      <w:numFmt w:val="bullet"/>
      <w:lvlText w:val=""/>
      <w:lvlPicBulletId w:val="0"/>
      <w:lvlJc w:val="left"/>
      <w:pPr>
        <w:tabs>
          <w:tab w:val="num" w:pos="720"/>
        </w:tabs>
        <w:ind w:left="720" w:hanging="360"/>
      </w:pPr>
      <w:rPr>
        <w:rFonts w:ascii="Symbol" w:hAnsi="Symbol" w:hint="default"/>
      </w:rPr>
    </w:lvl>
    <w:lvl w:ilvl="1" w:tplc="E1CC14F8" w:tentative="1">
      <w:start w:val="1"/>
      <w:numFmt w:val="bullet"/>
      <w:lvlText w:val=""/>
      <w:lvlJc w:val="left"/>
      <w:pPr>
        <w:tabs>
          <w:tab w:val="num" w:pos="1440"/>
        </w:tabs>
        <w:ind w:left="1440" w:hanging="360"/>
      </w:pPr>
      <w:rPr>
        <w:rFonts w:ascii="Symbol" w:hAnsi="Symbol" w:hint="default"/>
      </w:rPr>
    </w:lvl>
    <w:lvl w:ilvl="2" w:tplc="DCDC7DA4" w:tentative="1">
      <w:start w:val="1"/>
      <w:numFmt w:val="bullet"/>
      <w:lvlText w:val=""/>
      <w:lvlJc w:val="left"/>
      <w:pPr>
        <w:tabs>
          <w:tab w:val="num" w:pos="2160"/>
        </w:tabs>
        <w:ind w:left="2160" w:hanging="360"/>
      </w:pPr>
      <w:rPr>
        <w:rFonts w:ascii="Symbol" w:hAnsi="Symbol" w:hint="default"/>
      </w:rPr>
    </w:lvl>
    <w:lvl w:ilvl="3" w:tplc="90DE3A3E" w:tentative="1">
      <w:start w:val="1"/>
      <w:numFmt w:val="bullet"/>
      <w:lvlText w:val=""/>
      <w:lvlJc w:val="left"/>
      <w:pPr>
        <w:tabs>
          <w:tab w:val="num" w:pos="2880"/>
        </w:tabs>
        <w:ind w:left="2880" w:hanging="360"/>
      </w:pPr>
      <w:rPr>
        <w:rFonts w:ascii="Symbol" w:hAnsi="Symbol" w:hint="default"/>
      </w:rPr>
    </w:lvl>
    <w:lvl w:ilvl="4" w:tplc="B9604F64" w:tentative="1">
      <w:start w:val="1"/>
      <w:numFmt w:val="bullet"/>
      <w:lvlText w:val=""/>
      <w:lvlJc w:val="left"/>
      <w:pPr>
        <w:tabs>
          <w:tab w:val="num" w:pos="3600"/>
        </w:tabs>
        <w:ind w:left="3600" w:hanging="360"/>
      </w:pPr>
      <w:rPr>
        <w:rFonts w:ascii="Symbol" w:hAnsi="Symbol" w:hint="default"/>
      </w:rPr>
    </w:lvl>
    <w:lvl w:ilvl="5" w:tplc="0CEC3B8E" w:tentative="1">
      <w:start w:val="1"/>
      <w:numFmt w:val="bullet"/>
      <w:lvlText w:val=""/>
      <w:lvlJc w:val="left"/>
      <w:pPr>
        <w:tabs>
          <w:tab w:val="num" w:pos="4320"/>
        </w:tabs>
        <w:ind w:left="4320" w:hanging="360"/>
      </w:pPr>
      <w:rPr>
        <w:rFonts w:ascii="Symbol" w:hAnsi="Symbol" w:hint="default"/>
      </w:rPr>
    </w:lvl>
    <w:lvl w:ilvl="6" w:tplc="134A5C18" w:tentative="1">
      <w:start w:val="1"/>
      <w:numFmt w:val="bullet"/>
      <w:lvlText w:val=""/>
      <w:lvlJc w:val="left"/>
      <w:pPr>
        <w:tabs>
          <w:tab w:val="num" w:pos="5040"/>
        </w:tabs>
        <w:ind w:left="5040" w:hanging="360"/>
      </w:pPr>
      <w:rPr>
        <w:rFonts w:ascii="Symbol" w:hAnsi="Symbol" w:hint="default"/>
      </w:rPr>
    </w:lvl>
    <w:lvl w:ilvl="7" w:tplc="798C649E" w:tentative="1">
      <w:start w:val="1"/>
      <w:numFmt w:val="bullet"/>
      <w:lvlText w:val=""/>
      <w:lvlJc w:val="left"/>
      <w:pPr>
        <w:tabs>
          <w:tab w:val="num" w:pos="5760"/>
        </w:tabs>
        <w:ind w:left="5760" w:hanging="360"/>
      </w:pPr>
      <w:rPr>
        <w:rFonts w:ascii="Symbol" w:hAnsi="Symbol" w:hint="default"/>
      </w:rPr>
    </w:lvl>
    <w:lvl w:ilvl="8" w:tplc="928EBDEC" w:tentative="1">
      <w:start w:val="1"/>
      <w:numFmt w:val="bullet"/>
      <w:lvlText w:val=""/>
      <w:lvlJc w:val="left"/>
      <w:pPr>
        <w:tabs>
          <w:tab w:val="num" w:pos="6480"/>
        </w:tabs>
        <w:ind w:left="6480" w:hanging="360"/>
      </w:pPr>
      <w:rPr>
        <w:rFonts w:ascii="Symbol" w:hAnsi="Symbol" w:hint="default"/>
      </w:rPr>
    </w:lvl>
  </w:abstractNum>
  <w:num w:numId="1" w16cid:durableId="183054937">
    <w:abstractNumId w:val="0"/>
  </w:num>
  <w:num w:numId="2" w16cid:durableId="1290085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DE4"/>
    <w:rsid w:val="0001427E"/>
    <w:rsid w:val="00050F33"/>
    <w:rsid w:val="0005262D"/>
    <w:rsid w:val="00086EEB"/>
    <w:rsid w:val="0009421E"/>
    <w:rsid w:val="000C2FBF"/>
    <w:rsid w:val="000F3B68"/>
    <w:rsid w:val="001203DB"/>
    <w:rsid w:val="00147A08"/>
    <w:rsid w:val="00192B5F"/>
    <w:rsid w:val="00193F52"/>
    <w:rsid w:val="00195624"/>
    <w:rsid w:val="001A621F"/>
    <w:rsid w:val="001D2C66"/>
    <w:rsid w:val="001D32BC"/>
    <w:rsid w:val="00217E0D"/>
    <w:rsid w:val="0025374D"/>
    <w:rsid w:val="00275C44"/>
    <w:rsid w:val="00293DE4"/>
    <w:rsid w:val="002C1B14"/>
    <w:rsid w:val="002E1956"/>
    <w:rsid w:val="002F1D4C"/>
    <w:rsid w:val="00317561"/>
    <w:rsid w:val="0038132D"/>
    <w:rsid w:val="00387B64"/>
    <w:rsid w:val="00396630"/>
    <w:rsid w:val="003D06E9"/>
    <w:rsid w:val="003F5462"/>
    <w:rsid w:val="00421A5D"/>
    <w:rsid w:val="00423304"/>
    <w:rsid w:val="004256B9"/>
    <w:rsid w:val="00425950"/>
    <w:rsid w:val="004437C9"/>
    <w:rsid w:val="00443CBC"/>
    <w:rsid w:val="004708CF"/>
    <w:rsid w:val="00490571"/>
    <w:rsid w:val="00492CA0"/>
    <w:rsid w:val="004C4A4C"/>
    <w:rsid w:val="004D6EAC"/>
    <w:rsid w:val="00505FC0"/>
    <w:rsid w:val="00512CB1"/>
    <w:rsid w:val="00533E91"/>
    <w:rsid w:val="00580259"/>
    <w:rsid w:val="00581BB5"/>
    <w:rsid w:val="00592346"/>
    <w:rsid w:val="00597871"/>
    <w:rsid w:val="005A0354"/>
    <w:rsid w:val="005B009C"/>
    <w:rsid w:val="005C07E5"/>
    <w:rsid w:val="005E5ABB"/>
    <w:rsid w:val="00612379"/>
    <w:rsid w:val="0061477D"/>
    <w:rsid w:val="00617A42"/>
    <w:rsid w:val="00676855"/>
    <w:rsid w:val="0067749E"/>
    <w:rsid w:val="00680BA4"/>
    <w:rsid w:val="00693D9C"/>
    <w:rsid w:val="006C0C9A"/>
    <w:rsid w:val="006C67DB"/>
    <w:rsid w:val="006E1FBA"/>
    <w:rsid w:val="007133A3"/>
    <w:rsid w:val="00732F58"/>
    <w:rsid w:val="00733D26"/>
    <w:rsid w:val="0073674E"/>
    <w:rsid w:val="00741E8E"/>
    <w:rsid w:val="00742784"/>
    <w:rsid w:val="00750BB8"/>
    <w:rsid w:val="007701AD"/>
    <w:rsid w:val="007A1878"/>
    <w:rsid w:val="007A5BF5"/>
    <w:rsid w:val="007D6A2C"/>
    <w:rsid w:val="007E3DFF"/>
    <w:rsid w:val="007F5571"/>
    <w:rsid w:val="00813B87"/>
    <w:rsid w:val="00852F88"/>
    <w:rsid w:val="00855A89"/>
    <w:rsid w:val="00871A6E"/>
    <w:rsid w:val="00877506"/>
    <w:rsid w:val="00877A3B"/>
    <w:rsid w:val="008844AB"/>
    <w:rsid w:val="00885002"/>
    <w:rsid w:val="0088610F"/>
    <w:rsid w:val="00892B9C"/>
    <w:rsid w:val="008959B5"/>
    <w:rsid w:val="008A365A"/>
    <w:rsid w:val="008B0D63"/>
    <w:rsid w:val="0093252E"/>
    <w:rsid w:val="00950B1F"/>
    <w:rsid w:val="009A4798"/>
    <w:rsid w:val="009D12EC"/>
    <w:rsid w:val="009D41BC"/>
    <w:rsid w:val="009D6B97"/>
    <w:rsid w:val="009E33DC"/>
    <w:rsid w:val="00A37C1D"/>
    <w:rsid w:val="00A45681"/>
    <w:rsid w:val="00A4763B"/>
    <w:rsid w:val="00A81B42"/>
    <w:rsid w:val="00AA43E3"/>
    <w:rsid w:val="00AB40D9"/>
    <w:rsid w:val="00AB72EB"/>
    <w:rsid w:val="00AC6BEF"/>
    <w:rsid w:val="00AF4FEC"/>
    <w:rsid w:val="00B47CF0"/>
    <w:rsid w:val="00B64E06"/>
    <w:rsid w:val="00B80536"/>
    <w:rsid w:val="00B9070B"/>
    <w:rsid w:val="00BA4DEC"/>
    <w:rsid w:val="00BA6A48"/>
    <w:rsid w:val="00BC5820"/>
    <w:rsid w:val="00BF2086"/>
    <w:rsid w:val="00C22820"/>
    <w:rsid w:val="00C2314E"/>
    <w:rsid w:val="00C23252"/>
    <w:rsid w:val="00C51FE4"/>
    <w:rsid w:val="00C95D57"/>
    <w:rsid w:val="00CC54E9"/>
    <w:rsid w:val="00CD6AE7"/>
    <w:rsid w:val="00CE3455"/>
    <w:rsid w:val="00CE5566"/>
    <w:rsid w:val="00CF67E7"/>
    <w:rsid w:val="00D25A9E"/>
    <w:rsid w:val="00D26C30"/>
    <w:rsid w:val="00D343B2"/>
    <w:rsid w:val="00D37CF8"/>
    <w:rsid w:val="00D51CBA"/>
    <w:rsid w:val="00D61B03"/>
    <w:rsid w:val="00D64810"/>
    <w:rsid w:val="00D76007"/>
    <w:rsid w:val="00DE508A"/>
    <w:rsid w:val="00E16737"/>
    <w:rsid w:val="00E279D4"/>
    <w:rsid w:val="00E641B9"/>
    <w:rsid w:val="00E814CF"/>
    <w:rsid w:val="00EB32AF"/>
    <w:rsid w:val="00EC04C8"/>
    <w:rsid w:val="00ED41FB"/>
    <w:rsid w:val="00EE192A"/>
    <w:rsid w:val="00F10C4E"/>
    <w:rsid w:val="00F164AB"/>
    <w:rsid w:val="00F37BFE"/>
    <w:rsid w:val="00F43FBD"/>
    <w:rsid w:val="00F64536"/>
    <w:rsid w:val="00F974AE"/>
    <w:rsid w:val="00FF620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60DDB"/>
  <w15:docId w15:val="{5BE71C46-2E79-4850-BFD9-EA90EFE6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E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E06"/>
    <w:rPr>
      <w:rFonts w:cs="Mangal"/>
      <w:lang w:val="en-IN"/>
    </w:rPr>
  </w:style>
  <w:style w:type="paragraph" w:styleId="Footer">
    <w:name w:val="footer"/>
    <w:basedOn w:val="Normal"/>
    <w:link w:val="FooterChar"/>
    <w:uiPriority w:val="99"/>
    <w:unhideWhenUsed/>
    <w:rsid w:val="00B64E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E06"/>
    <w:rPr>
      <w:rFonts w:cs="Mangal"/>
      <w:lang w:val="en-IN"/>
    </w:rPr>
  </w:style>
  <w:style w:type="paragraph" w:styleId="ListParagraph">
    <w:name w:val="List Paragraph"/>
    <w:basedOn w:val="Normal"/>
    <w:uiPriority w:val="34"/>
    <w:qFormat/>
    <w:rsid w:val="00B64E06"/>
    <w:pPr>
      <w:ind w:left="720"/>
      <w:contextualSpacing/>
    </w:pPr>
  </w:style>
  <w:style w:type="table" w:styleId="TableGrid">
    <w:name w:val="Table Grid"/>
    <w:basedOn w:val="TableNormal"/>
    <w:uiPriority w:val="59"/>
    <w:rsid w:val="007A5BF5"/>
    <w:pPr>
      <w:spacing w:after="0" w:line="240" w:lineRule="auto"/>
    </w:pPr>
    <w:rPr>
      <w:rFonts w:ascii="Calibri" w:eastAsia="Calibri" w:hAnsi="Calibri" w:cs="Mang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5681"/>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A45681"/>
    <w:rPr>
      <w:rFonts w:ascii="Tahoma" w:hAnsi="Tahoma" w:cs="Mangal"/>
      <w:sz w:val="16"/>
      <w:szCs w:val="14"/>
      <w:lang w:val="en-IN"/>
    </w:rPr>
  </w:style>
  <w:style w:type="paragraph" w:customStyle="1" w:styleId="Default">
    <w:name w:val="Default"/>
    <w:rsid w:val="006C0C9A"/>
    <w:pPr>
      <w:autoSpaceDE w:val="0"/>
      <w:autoSpaceDN w:val="0"/>
      <w:adjustRightInd w:val="0"/>
      <w:spacing w:after="0" w:line="240" w:lineRule="auto"/>
    </w:pPr>
    <w:rPr>
      <w:rFonts w:ascii="Book Antiqua" w:eastAsia="Times New Roman" w:hAnsi="Book Antiqua" w:cs="Book Antiqua"/>
      <w:color w:val="000000"/>
      <w:sz w:val="24"/>
      <w:szCs w:val="24"/>
    </w:rPr>
  </w:style>
  <w:style w:type="character" w:customStyle="1" w:styleId="Table">
    <w:name w:val="Table"/>
    <w:rsid w:val="00680BA4"/>
    <w:rPr>
      <w:rFonts w:ascii="Arial" w:hAnsi="Arial"/>
      <w:sz w:val="20"/>
    </w:rPr>
  </w:style>
  <w:style w:type="paragraph" w:styleId="NormalWeb">
    <w:name w:val="Normal (Web)"/>
    <w:basedOn w:val="Normal"/>
    <w:uiPriority w:val="99"/>
    <w:unhideWhenUsed/>
    <w:rsid w:val="004437C9"/>
    <w:pPr>
      <w:spacing w:before="100" w:beforeAutospacing="1" w:after="100" w:afterAutospacing="1" w:line="240" w:lineRule="auto"/>
    </w:pPr>
    <w:rPr>
      <w:rFonts w:ascii="Times New Roman" w:eastAsia="Times New Roman" w:hAnsi="Times New Roman" w:cs="Times New Roman"/>
      <w:sz w:val="24"/>
      <w:szCs w:val="24"/>
      <w:lang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439">
      <w:bodyDiv w:val="1"/>
      <w:marLeft w:val="0"/>
      <w:marRight w:val="0"/>
      <w:marTop w:val="0"/>
      <w:marBottom w:val="0"/>
      <w:divBdr>
        <w:top w:val="none" w:sz="0" w:space="0" w:color="auto"/>
        <w:left w:val="none" w:sz="0" w:space="0" w:color="auto"/>
        <w:bottom w:val="none" w:sz="0" w:space="0" w:color="auto"/>
        <w:right w:val="none" w:sz="0" w:space="0" w:color="auto"/>
      </w:divBdr>
    </w:div>
    <w:div w:id="187334549">
      <w:bodyDiv w:val="1"/>
      <w:marLeft w:val="0"/>
      <w:marRight w:val="0"/>
      <w:marTop w:val="0"/>
      <w:marBottom w:val="0"/>
      <w:divBdr>
        <w:top w:val="none" w:sz="0" w:space="0" w:color="auto"/>
        <w:left w:val="none" w:sz="0" w:space="0" w:color="auto"/>
        <w:bottom w:val="none" w:sz="0" w:space="0" w:color="auto"/>
        <w:right w:val="none" w:sz="0" w:space="0" w:color="auto"/>
      </w:divBdr>
    </w:div>
    <w:div w:id="246813221">
      <w:bodyDiv w:val="1"/>
      <w:marLeft w:val="0"/>
      <w:marRight w:val="0"/>
      <w:marTop w:val="0"/>
      <w:marBottom w:val="0"/>
      <w:divBdr>
        <w:top w:val="none" w:sz="0" w:space="0" w:color="auto"/>
        <w:left w:val="none" w:sz="0" w:space="0" w:color="auto"/>
        <w:bottom w:val="none" w:sz="0" w:space="0" w:color="auto"/>
        <w:right w:val="none" w:sz="0" w:space="0" w:color="auto"/>
      </w:divBdr>
    </w:div>
    <w:div w:id="510532248">
      <w:bodyDiv w:val="1"/>
      <w:marLeft w:val="0"/>
      <w:marRight w:val="0"/>
      <w:marTop w:val="0"/>
      <w:marBottom w:val="0"/>
      <w:divBdr>
        <w:top w:val="none" w:sz="0" w:space="0" w:color="auto"/>
        <w:left w:val="none" w:sz="0" w:space="0" w:color="auto"/>
        <w:bottom w:val="none" w:sz="0" w:space="0" w:color="auto"/>
        <w:right w:val="none" w:sz="0" w:space="0" w:color="auto"/>
      </w:divBdr>
    </w:div>
    <w:div w:id="516433467">
      <w:bodyDiv w:val="1"/>
      <w:marLeft w:val="0"/>
      <w:marRight w:val="0"/>
      <w:marTop w:val="0"/>
      <w:marBottom w:val="0"/>
      <w:divBdr>
        <w:top w:val="none" w:sz="0" w:space="0" w:color="auto"/>
        <w:left w:val="none" w:sz="0" w:space="0" w:color="auto"/>
        <w:bottom w:val="none" w:sz="0" w:space="0" w:color="auto"/>
        <w:right w:val="none" w:sz="0" w:space="0" w:color="auto"/>
      </w:divBdr>
    </w:div>
    <w:div w:id="742340636">
      <w:bodyDiv w:val="1"/>
      <w:marLeft w:val="0"/>
      <w:marRight w:val="0"/>
      <w:marTop w:val="0"/>
      <w:marBottom w:val="0"/>
      <w:divBdr>
        <w:top w:val="none" w:sz="0" w:space="0" w:color="auto"/>
        <w:left w:val="none" w:sz="0" w:space="0" w:color="auto"/>
        <w:bottom w:val="none" w:sz="0" w:space="0" w:color="auto"/>
        <w:right w:val="none" w:sz="0" w:space="0" w:color="auto"/>
      </w:divBdr>
    </w:div>
    <w:div w:id="1209145567">
      <w:bodyDiv w:val="1"/>
      <w:marLeft w:val="0"/>
      <w:marRight w:val="0"/>
      <w:marTop w:val="0"/>
      <w:marBottom w:val="0"/>
      <w:divBdr>
        <w:top w:val="none" w:sz="0" w:space="0" w:color="auto"/>
        <w:left w:val="none" w:sz="0" w:space="0" w:color="auto"/>
        <w:bottom w:val="none" w:sz="0" w:space="0" w:color="auto"/>
        <w:right w:val="none" w:sz="0" w:space="0" w:color="auto"/>
      </w:divBdr>
    </w:div>
    <w:div w:id="1253008086">
      <w:bodyDiv w:val="1"/>
      <w:marLeft w:val="0"/>
      <w:marRight w:val="0"/>
      <w:marTop w:val="0"/>
      <w:marBottom w:val="0"/>
      <w:divBdr>
        <w:top w:val="none" w:sz="0" w:space="0" w:color="auto"/>
        <w:left w:val="none" w:sz="0" w:space="0" w:color="auto"/>
        <w:bottom w:val="none" w:sz="0" w:space="0" w:color="auto"/>
        <w:right w:val="none" w:sz="0" w:space="0" w:color="auto"/>
      </w:divBdr>
    </w:div>
    <w:div w:id="1267348657">
      <w:bodyDiv w:val="1"/>
      <w:marLeft w:val="0"/>
      <w:marRight w:val="0"/>
      <w:marTop w:val="0"/>
      <w:marBottom w:val="0"/>
      <w:divBdr>
        <w:top w:val="none" w:sz="0" w:space="0" w:color="auto"/>
        <w:left w:val="none" w:sz="0" w:space="0" w:color="auto"/>
        <w:bottom w:val="none" w:sz="0" w:space="0" w:color="auto"/>
        <w:right w:val="none" w:sz="0" w:space="0" w:color="auto"/>
      </w:divBdr>
    </w:div>
    <w:div w:id="1268922523">
      <w:bodyDiv w:val="1"/>
      <w:marLeft w:val="0"/>
      <w:marRight w:val="0"/>
      <w:marTop w:val="0"/>
      <w:marBottom w:val="0"/>
      <w:divBdr>
        <w:top w:val="none" w:sz="0" w:space="0" w:color="auto"/>
        <w:left w:val="none" w:sz="0" w:space="0" w:color="auto"/>
        <w:bottom w:val="none" w:sz="0" w:space="0" w:color="auto"/>
        <w:right w:val="none" w:sz="0" w:space="0" w:color="auto"/>
      </w:divBdr>
    </w:div>
    <w:div w:id="1286617578">
      <w:bodyDiv w:val="1"/>
      <w:marLeft w:val="0"/>
      <w:marRight w:val="0"/>
      <w:marTop w:val="0"/>
      <w:marBottom w:val="0"/>
      <w:divBdr>
        <w:top w:val="none" w:sz="0" w:space="0" w:color="auto"/>
        <w:left w:val="none" w:sz="0" w:space="0" w:color="auto"/>
        <w:bottom w:val="none" w:sz="0" w:space="0" w:color="auto"/>
        <w:right w:val="none" w:sz="0" w:space="0" w:color="auto"/>
      </w:divBdr>
    </w:div>
    <w:div w:id="1354841410">
      <w:bodyDiv w:val="1"/>
      <w:marLeft w:val="0"/>
      <w:marRight w:val="0"/>
      <w:marTop w:val="0"/>
      <w:marBottom w:val="0"/>
      <w:divBdr>
        <w:top w:val="none" w:sz="0" w:space="0" w:color="auto"/>
        <w:left w:val="none" w:sz="0" w:space="0" w:color="auto"/>
        <w:bottom w:val="none" w:sz="0" w:space="0" w:color="auto"/>
        <w:right w:val="none" w:sz="0" w:space="0" w:color="auto"/>
      </w:divBdr>
    </w:div>
    <w:div w:id="1434008563">
      <w:bodyDiv w:val="1"/>
      <w:marLeft w:val="0"/>
      <w:marRight w:val="0"/>
      <w:marTop w:val="0"/>
      <w:marBottom w:val="0"/>
      <w:divBdr>
        <w:top w:val="none" w:sz="0" w:space="0" w:color="auto"/>
        <w:left w:val="none" w:sz="0" w:space="0" w:color="auto"/>
        <w:bottom w:val="none" w:sz="0" w:space="0" w:color="auto"/>
        <w:right w:val="none" w:sz="0" w:space="0" w:color="auto"/>
      </w:divBdr>
    </w:div>
    <w:div w:id="1446655456">
      <w:bodyDiv w:val="1"/>
      <w:marLeft w:val="0"/>
      <w:marRight w:val="0"/>
      <w:marTop w:val="0"/>
      <w:marBottom w:val="0"/>
      <w:divBdr>
        <w:top w:val="none" w:sz="0" w:space="0" w:color="auto"/>
        <w:left w:val="none" w:sz="0" w:space="0" w:color="auto"/>
        <w:bottom w:val="none" w:sz="0" w:space="0" w:color="auto"/>
        <w:right w:val="none" w:sz="0" w:space="0" w:color="auto"/>
      </w:divBdr>
    </w:div>
    <w:div w:id="1562906763">
      <w:bodyDiv w:val="1"/>
      <w:marLeft w:val="0"/>
      <w:marRight w:val="0"/>
      <w:marTop w:val="0"/>
      <w:marBottom w:val="0"/>
      <w:divBdr>
        <w:top w:val="none" w:sz="0" w:space="0" w:color="auto"/>
        <w:left w:val="none" w:sz="0" w:space="0" w:color="auto"/>
        <w:bottom w:val="none" w:sz="0" w:space="0" w:color="auto"/>
        <w:right w:val="none" w:sz="0" w:space="0" w:color="auto"/>
      </w:divBdr>
    </w:div>
    <w:div w:id="1622227204">
      <w:bodyDiv w:val="1"/>
      <w:marLeft w:val="0"/>
      <w:marRight w:val="0"/>
      <w:marTop w:val="0"/>
      <w:marBottom w:val="0"/>
      <w:divBdr>
        <w:top w:val="none" w:sz="0" w:space="0" w:color="auto"/>
        <w:left w:val="none" w:sz="0" w:space="0" w:color="auto"/>
        <w:bottom w:val="none" w:sz="0" w:space="0" w:color="auto"/>
        <w:right w:val="none" w:sz="0" w:space="0" w:color="auto"/>
      </w:divBdr>
    </w:div>
    <w:div w:id="193654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andTime xmlns="5b1e22a1-7343-4772-b68a-36de49ad4a02" xsi:nil="true"/>
    <lcf76f155ced4ddcb4097134ff3c332f xmlns="5b1e22a1-7343-4772-b68a-36de49ad4a02">
      <Terms xmlns="http://schemas.microsoft.com/office/infopath/2007/PartnerControls"/>
    </lcf76f155ced4ddcb4097134ff3c332f>
    <TaxCatchAll xmlns="a1a56b39-2d07-46dc-813a-584bd88ff0c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FD0AE0786BE84BB6A8C22B19BB2AF1" ma:contentTypeVersion="12" ma:contentTypeDescription="Create a new document." ma:contentTypeScope="" ma:versionID="46fa900df93d4ef180de4c64a1bdaef0">
  <xsd:schema xmlns:xsd="http://www.w3.org/2001/XMLSchema" xmlns:xs="http://www.w3.org/2001/XMLSchema" xmlns:p="http://schemas.microsoft.com/office/2006/metadata/properties" xmlns:ns2="5b1e22a1-7343-4772-b68a-36de49ad4a02" xmlns:ns3="a1a56b39-2d07-46dc-813a-584bd88ff0c3" targetNamespace="http://schemas.microsoft.com/office/2006/metadata/properties" ma:root="true" ma:fieldsID="b501595b6097d54d85b7eefa2fcd3f39" ns2:_="" ns3:_="">
    <xsd:import namespace="5b1e22a1-7343-4772-b68a-36de49ad4a02"/>
    <xsd:import namespace="a1a56b39-2d07-46dc-813a-584bd88ff0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DateandTim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e22a1-7343-4772-b68a-36de49ad4a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DateandTime" ma:index="15" nillable="true" ma:displayName="Date and Time" ma:format="DateTime" ma:internalName="DateandTime">
      <xsd:simpleType>
        <xsd:restriction base="dms:DateTim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e3743e6-77a2-454a-a17c-8c8d56f9f3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a56b39-2d07-46dc-813a-584bd88ff0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da0702b-8c77-47f9-96fd-fb55da0237be}" ma:internalName="TaxCatchAll" ma:showField="CatchAllData" ma:web="a1a56b39-2d07-46dc-813a-584bd88ff0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6A1EC6-5F20-403C-B27B-C9F119E3A5CF}">
  <ds:schemaRefs>
    <ds:schemaRef ds:uri="http://schemas.microsoft.com/office/2006/metadata/properties"/>
    <ds:schemaRef ds:uri="http://schemas.microsoft.com/office/infopath/2007/PartnerControls"/>
    <ds:schemaRef ds:uri="5b1e22a1-7343-4772-b68a-36de49ad4a02"/>
    <ds:schemaRef ds:uri="a1a56b39-2d07-46dc-813a-584bd88ff0c3"/>
  </ds:schemaRefs>
</ds:datastoreItem>
</file>

<file path=customXml/itemProps2.xml><?xml version="1.0" encoding="utf-8"?>
<ds:datastoreItem xmlns:ds="http://schemas.openxmlformats.org/officeDocument/2006/customXml" ds:itemID="{129FE083-21C8-4E55-9E00-CF7A822CD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e22a1-7343-4772-b68a-36de49ad4a02"/>
    <ds:schemaRef ds:uri="a1a56b39-2d07-46dc-813a-584bd88ff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AD1E2F-4F3D-4552-B3B5-FBACE8C8DC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Mary Jose {एन मैरी जोस}</dc:creator>
  <cp:lastModifiedBy>C Lakshmi Manogna {सी लक्ष्मी  मनोगना}</cp:lastModifiedBy>
  <cp:revision>70</cp:revision>
  <cp:lastPrinted>2024-09-02T09:23:00Z</cp:lastPrinted>
  <dcterms:created xsi:type="dcterms:W3CDTF">2020-05-07T13:45:00Z</dcterms:created>
  <dcterms:modified xsi:type="dcterms:W3CDTF">2025-08-21T06:28:00Z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de828d-f69d-40d4-9531-ce724429a5c7_Enabled">
    <vt:lpwstr>true</vt:lpwstr>
  </property>
  <property fmtid="{D5CDD505-2E9C-101B-9397-08002B2CF9AE}" pid="3" name="MSIP_Label_67de828d-f69d-40d4-9531-ce724429a5c7_SetDate">
    <vt:lpwstr>2025-07-25T12:13:09Z</vt:lpwstr>
  </property>
  <property fmtid="{D5CDD505-2E9C-101B-9397-08002B2CF9AE}" pid="4" name="MSIP_Label_67de828d-f69d-40d4-9531-ce724429a5c7_Method">
    <vt:lpwstr>Privileged</vt:lpwstr>
  </property>
  <property fmtid="{D5CDD505-2E9C-101B-9397-08002B2CF9AE}" pid="5" name="MSIP_Label_67de828d-f69d-40d4-9531-ce724429a5c7_Name">
    <vt:lpwstr>Unrestricted-IT</vt:lpwstr>
  </property>
  <property fmtid="{D5CDD505-2E9C-101B-9397-08002B2CF9AE}" pid="6" name="MSIP_Label_67de828d-f69d-40d4-9531-ce724429a5c7_SiteId">
    <vt:lpwstr>7048075c-52c2-4a40-8e7c-5c5a5573c87f</vt:lpwstr>
  </property>
  <property fmtid="{D5CDD505-2E9C-101B-9397-08002B2CF9AE}" pid="7" name="MSIP_Label_67de828d-f69d-40d4-9531-ce724429a5c7_ActionId">
    <vt:lpwstr>a92e6516-c288-46ad-ba4b-736efc539b9e</vt:lpwstr>
  </property>
  <property fmtid="{D5CDD505-2E9C-101B-9397-08002B2CF9AE}" pid="8" name="MSIP_Label_67de828d-f69d-40d4-9531-ce724429a5c7_ContentBits">
    <vt:lpwstr>0</vt:lpwstr>
  </property>
  <property fmtid="{D5CDD505-2E9C-101B-9397-08002B2CF9AE}" pid="9" name="MSIP_Label_67de828d-f69d-40d4-9531-ce724429a5c7_Tag">
    <vt:lpwstr>10, 0, 1, 1</vt:lpwstr>
  </property>
  <property fmtid="{D5CDD505-2E9C-101B-9397-08002B2CF9AE}" pid="10" name="ContentTypeId">
    <vt:lpwstr>0x0101001EFD0AE0786BE84BB6A8C22B19BB2AF1</vt:lpwstr>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ies>
</file>