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727" w:type="dxa"/>
        <w:tblInd w:w="-702" w:type="dxa"/>
        <w:tblLook w:val="04A0" w:firstRow="1" w:lastRow="0" w:firstColumn="1" w:lastColumn="0" w:noHBand="0" w:noVBand="1"/>
      </w:tblPr>
      <w:tblGrid>
        <w:gridCol w:w="610"/>
        <w:gridCol w:w="1570"/>
        <w:gridCol w:w="4750"/>
        <w:gridCol w:w="4950"/>
        <w:gridCol w:w="3847"/>
      </w:tblGrid>
      <w:tr w:rsidR="00021BE2" w:rsidRPr="00606105" w:rsidTr="00085463">
        <w:tc>
          <w:tcPr>
            <w:tcW w:w="610" w:type="dxa"/>
          </w:tcPr>
          <w:p w:rsidR="00021BE2" w:rsidRPr="00606105" w:rsidRDefault="0049058B" w:rsidP="00085463">
            <w:pPr>
              <w:jc w:val="both"/>
              <w:rPr>
                <w:rFonts w:ascii="Palatino Linotype" w:hAnsi="Palatino Linotype" w:cstheme="minorHAnsi"/>
                <w:b/>
              </w:rPr>
            </w:pPr>
            <w:r w:rsidRPr="00606105">
              <w:rPr>
                <w:rFonts w:ascii="Palatino Linotype" w:hAnsi="Palatino Linotype" w:cstheme="minorHAnsi"/>
                <w:b/>
              </w:rPr>
              <w:t xml:space="preserve"> </w:t>
            </w:r>
            <w:r w:rsidR="00021BE2" w:rsidRPr="00606105">
              <w:rPr>
                <w:rFonts w:ascii="Palatino Linotype" w:hAnsi="Palatino Linotype" w:cstheme="minorHAnsi"/>
                <w:b/>
              </w:rPr>
              <w:t>Sl. No.</w:t>
            </w:r>
          </w:p>
        </w:tc>
        <w:tc>
          <w:tcPr>
            <w:tcW w:w="1570" w:type="dxa"/>
          </w:tcPr>
          <w:p w:rsidR="00021BE2" w:rsidRPr="00606105" w:rsidRDefault="00021BE2" w:rsidP="00085463">
            <w:pPr>
              <w:jc w:val="both"/>
              <w:rPr>
                <w:rFonts w:ascii="Palatino Linotype" w:hAnsi="Palatino Linotype" w:cstheme="minorHAnsi"/>
                <w:b/>
              </w:rPr>
            </w:pPr>
            <w:r w:rsidRPr="00606105">
              <w:rPr>
                <w:rFonts w:ascii="Palatino Linotype" w:hAnsi="Palatino Linotype" w:cstheme="minorHAnsi"/>
                <w:b/>
              </w:rPr>
              <w:t>Clause ref.</w:t>
            </w:r>
          </w:p>
        </w:tc>
        <w:tc>
          <w:tcPr>
            <w:tcW w:w="4750" w:type="dxa"/>
          </w:tcPr>
          <w:p w:rsidR="00021BE2" w:rsidRPr="00606105" w:rsidRDefault="00021BE2" w:rsidP="00085463">
            <w:pPr>
              <w:jc w:val="both"/>
              <w:rPr>
                <w:rFonts w:ascii="Palatino Linotype" w:hAnsi="Palatino Linotype" w:cstheme="minorHAnsi"/>
                <w:b/>
              </w:rPr>
            </w:pPr>
            <w:r w:rsidRPr="00606105">
              <w:rPr>
                <w:rFonts w:ascii="Palatino Linotype" w:hAnsi="Palatino Linotype" w:cstheme="minorHAnsi"/>
                <w:b/>
              </w:rPr>
              <w:t>Existing Provision of the Bidding Document</w:t>
            </w:r>
          </w:p>
        </w:tc>
        <w:tc>
          <w:tcPr>
            <w:tcW w:w="4950" w:type="dxa"/>
          </w:tcPr>
          <w:p w:rsidR="00021BE2" w:rsidRPr="00606105" w:rsidRDefault="00021BE2" w:rsidP="00085463">
            <w:pPr>
              <w:jc w:val="both"/>
              <w:rPr>
                <w:rFonts w:ascii="Palatino Linotype" w:hAnsi="Palatino Linotype" w:cstheme="minorHAnsi"/>
                <w:b/>
              </w:rPr>
            </w:pPr>
            <w:r w:rsidRPr="00606105">
              <w:rPr>
                <w:rFonts w:ascii="Palatino Linotype" w:hAnsi="Palatino Linotype" w:cstheme="minorHAnsi"/>
                <w:b/>
                <w:bCs/>
              </w:rPr>
              <w:t>Query asked by the bidders</w:t>
            </w:r>
          </w:p>
        </w:tc>
        <w:tc>
          <w:tcPr>
            <w:tcW w:w="3847" w:type="dxa"/>
          </w:tcPr>
          <w:p w:rsidR="00021BE2" w:rsidRPr="00606105" w:rsidRDefault="00021BE2" w:rsidP="00085463">
            <w:pPr>
              <w:jc w:val="both"/>
              <w:rPr>
                <w:rFonts w:ascii="Palatino Linotype" w:hAnsi="Palatino Linotype" w:cstheme="minorHAnsi"/>
                <w:b/>
                <w:bCs/>
              </w:rPr>
            </w:pPr>
            <w:r w:rsidRPr="00606105">
              <w:rPr>
                <w:rFonts w:ascii="Palatino Linotype" w:hAnsi="Palatino Linotype" w:cstheme="minorHAnsi"/>
                <w:b/>
                <w:bCs/>
              </w:rPr>
              <w:t>POWERGRID’s Clarification</w:t>
            </w:r>
          </w:p>
        </w:tc>
      </w:tr>
      <w:tr w:rsidR="0049058B" w:rsidRPr="00606105" w:rsidTr="00085463">
        <w:tc>
          <w:tcPr>
            <w:tcW w:w="610" w:type="dxa"/>
          </w:tcPr>
          <w:p w:rsidR="0049058B" w:rsidRPr="00606105" w:rsidRDefault="0049058B" w:rsidP="00085463">
            <w:pPr>
              <w:jc w:val="both"/>
              <w:rPr>
                <w:rFonts w:ascii="Palatino Linotype" w:hAnsi="Palatino Linotype" w:cstheme="minorHAnsi"/>
              </w:rPr>
            </w:pPr>
            <w:r w:rsidRPr="00606105">
              <w:rPr>
                <w:rFonts w:ascii="Palatino Linotype" w:hAnsi="Palatino Linotype" w:cstheme="minorHAnsi"/>
              </w:rPr>
              <w:t>1</w:t>
            </w:r>
          </w:p>
        </w:tc>
        <w:tc>
          <w:tcPr>
            <w:tcW w:w="1570" w:type="dxa"/>
          </w:tcPr>
          <w:p w:rsidR="0049058B" w:rsidRPr="00606105" w:rsidRDefault="00FC7099" w:rsidP="00085463">
            <w:pPr>
              <w:jc w:val="both"/>
              <w:rPr>
                <w:rFonts w:ascii="Palatino Linotype" w:hAnsi="Palatino Linotype" w:cstheme="minorHAnsi"/>
              </w:rPr>
            </w:pPr>
            <w:r>
              <w:rPr>
                <w:rFonts w:ascii="Palatino Linotype" w:hAnsi="Palatino Linotype" w:cstheme="minorHAnsi"/>
              </w:rPr>
              <w:t>ITB Clause 29, BDS, Section-III,  Volume-I of the Bidding Documents</w:t>
            </w:r>
          </w:p>
        </w:tc>
        <w:tc>
          <w:tcPr>
            <w:tcW w:w="4750" w:type="dxa"/>
          </w:tcPr>
          <w:p w:rsidR="00FC7099" w:rsidRPr="00FC7099" w:rsidRDefault="00FC7099" w:rsidP="00085463">
            <w:pPr>
              <w:widowControl w:val="0"/>
              <w:spacing w:line="240" w:lineRule="atLeast"/>
              <w:ind w:left="594" w:hanging="594"/>
              <w:jc w:val="both"/>
              <w:rPr>
                <w:rFonts w:ascii="Palatino Linotype" w:hAnsi="Palatino Linotype" w:cstheme="minorHAnsi"/>
              </w:rPr>
            </w:pPr>
            <w:r w:rsidRPr="00FC7099">
              <w:rPr>
                <w:rFonts w:ascii="Palatino Linotype" w:hAnsi="Palatino Linotype" w:cstheme="minorHAnsi"/>
              </w:rPr>
              <w:t xml:space="preserve">Replacing ITB clause 29 </w:t>
            </w:r>
          </w:p>
          <w:p w:rsidR="00FC7099" w:rsidRPr="00FC7099" w:rsidRDefault="00FC7099" w:rsidP="00085463">
            <w:pPr>
              <w:widowControl w:val="0"/>
              <w:spacing w:line="240" w:lineRule="atLeast"/>
              <w:ind w:left="594" w:hanging="594"/>
              <w:jc w:val="both"/>
              <w:rPr>
                <w:rFonts w:ascii="Palatino Linotype" w:hAnsi="Palatino Linotype" w:cstheme="minorHAnsi"/>
              </w:rPr>
            </w:pPr>
          </w:p>
          <w:p w:rsidR="00FC7099" w:rsidRPr="00FC7099" w:rsidRDefault="00FC7099" w:rsidP="00085463">
            <w:pPr>
              <w:widowControl w:val="0"/>
              <w:spacing w:line="240" w:lineRule="atLeast"/>
              <w:ind w:left="594" w:hanging="594"/>
              <w:jc w:val="both"/>
              <w:rPr>
                <w:rFonts w:ascii="Palatino Linotype" w:hAnsi="Palatino Linotype" w:cstheme="minorHAnsi"/>
              </w:rPr>
            </w:pPr>
            <w:r w:rsidRPr="00FC7099">
              <w:rPr>
                <w:rFonts w:ascii="Palatino Linotype" w:hAnsi="Palatino Linotype" w:cstheme="minorHAnsi"/>
              </w:rPr>
              <w:t xml:space="preserve">29. </w:t>
            </w:r>
            <w:r>
              <w:rPr>
                <w:rFonts w:ascii="Palatino Linotype" w:hAnsi="Palatino Linotype" w:cstheme="minorHAnsi"/>
              </w:rPr>
              <w:t xml:space="preserve">   </w:t>
            </w:r>
            <w:r w:rsidRPr="00FC7099">
              <w:rPr>
                <w:rFonts w:ascii="Palatino Linotype" w:hAnsi="Palatino Linotype" w:cstheme="minorHAnsi"/>
              </w:rPr>
              <w:t>e-Reverse Auction (e-RA)</w:t>
            </w:r>
          </w:p>
          <w:p w:rsidR="00FC7099" w:rsidRPr="00FC7099" w:rsidRDefault="00FC7099" w:rsidP="00085463">
            <w:pPr>
              <w:widowControl w:val="0"/>
              <w:spacing w:line="240" w:lineRule="atLeast"/>
              <w:ind w:left="594" w:hanging="594"/>
              <w:jc w:val="both"/>
              <w:rPr>
                <w:rFonts w:ascii="Palatino Linotype" w:hAnsi="Palatino Linotype" w:cstheme="minorHAnsi"/>
              </w:rPr>
            </w:pPr>
          </w:p>
          <w:p w:rsidR="00FC7099" w:rsidRPr="00FC7099" w:rsidRDefault="00FC7099" w:rsidP="00085463">
            <w:pPr>
              <w:widowControl w:val="0"/>
              <w:spacing w:line="240" w:lineRule="atLeast"/>
              <w:ind w:left="594" w:hanging="594"/>
              <w:jc w:val="both"/>
              <w:rPr>
                <w:rFonts w:ascii="Palatino Linotype" w:hAnsi="Palatino Linotype" w:cstheme="minorHAnsi"/>
              </w:rPr>
            </w:pPr>
            <w:r w:rsidRPr="00FC7099">
              <w:rPr>
                <w:rFonts w:ascii="Palatino Linotype" w:hAnsi="Palatino Linotype" w:cstheme="minorHAnsi"/>
              </w:rPr>
              <w:t>29.1</w:t>
            </w:r>
            <w:r w:rsidRPr="00FC7099">
              <w:rPr>
                <w:rFonts w:ascii="Palatino Linotype" w:hAnsi="Palatino Linotype" w:cstheme="minorHAnsi"/>
              </w:rPr>
              <w:tab/>
              <w:t>The Employer reserves the right to conduct e-Reverse Auction (e-RA) for further reduction in the price. In case e-RA is conducted, same shall be done in the manner as indicated at Annexure-B(BDS).</w:t>
            </w:r>
          </w:p>
          <w:p w:rsidR="00FC7099" w:rsidRPr="00FC7099" w:rsidRDefault="00FC7099" w:rsidP="00085463">
            <w:pPr>
              <w:widowControl w:val="0"/>
              <w:spacing w:line="240" w:lineRule="atLeast"/>
              <w:ind w:left="594" w:hanging="594"/>
              <w:jc w:val="both"/>
              <w:rPr>
                <w:rFonts w:ascii="Palatino Linotype" w:hAnsi="Palatino Linotype" w:cstheme="minorHAnsi"/>
              </w:rPr>
            </w:pPr>
            <w:r w:rsidRPr="00FC7099">
              <w:rPr>
                <w:rFonts w:ascii="Palatino Linotype" w:hAnsi="Palatino Linotype" w:cstheme="minorHAnsi"/>
              </w:rPr>
              <w:t xml:space="preserve"> </w:t>
            </w:r>
          </w:p>
          <w:p w:rsidR="00FC7099" w:rsidRPr="00FC7099" w:rsidRDefault="00FC7099" w:rsidP="00085463">
            <w:pPr>
              <w:widowControl w:val="0"/>
              <w:spacing w:line="240" w:lineRule="atLeast"/>
              <w:ind w:left="594" w:hanging="594"/>
              <w:jc w:val="both"/>
              <w:rPr>
                <w:rFonts w:ascii="Palatino Linotype" w:hAnsi="Palatino Linotype" w:cstheme="minorHAnsi"/>
              </w:rPr>
            </w:pPr>
            <w:r w:rsidRPr="00FC7099">
              <w:rPr>
                <w:rFonts w:ascii="Palatino Linotype" w:hAnsi="Palatino Linotype" w:cstheme="minorHAnsi"/>
              </w:rPr>
              <w:t xml:space="preserve">          For the purpose of the aforesaid, the ‘Indicative Estimated Cost for e-RA’ is Rs. 76.058 Crore for OH01A and Rs. 76.058 Crore for OH01B.  </w:t>
            </w:r>
          </w:p>
          <w:p w:rsidR="00FC7099" w:rsidRPr="00FC7099" w:rsidRDefault="00FC7099" w:rsidP="00085463">
            <w:pPr>
              <w:widowControl w:val="0"/>
              <w:spacing w:line="240" w:lineRule="atLeast"/>
              <w:ind w:left="594" w:hanging="594"/>
              <w:jc w:val="both"/>
              <w:rPr>
                <w:rFonts w:ascii="Palatino Linotype" w:hAnsi="Palatino Linotype" w:cstheme="minorHAnsi"/>
              </w:rPr>
            </w:pPr>
          </w:p>
          <w:p w:rsidR="0049058B" w:rsidRPr="00606105" w:rsidRDefault="00FC7099" w:rsidP="00085463">
            <w:pPr>
              <w:widowControl w:val="0"/>
              <w:spacing w:line="240" w:lineRule="atLeast"/>
              <w:ind w:left="594" w:hanging="594"/>
              <w:jc w:val="both"/>
              <w:rPr>
                <w:rFonts w:ascii="Palatino Linotype" w:hAnsi="Palatino Linotype" w:cstheme="minorHAnsi"/>
                <w:b/>
                <w:bCs/>
              </w:rPr>
            </w:pPr>
            <w:r w:rsidRPr="00FC7099">
              <w:rPr>
                <w:rFonts w:ascii="Palatino Linotype" w:hAnsi="Palatino Linotype" w:cstheme="minorHAnsi"/>
              </w:rPr>
              <w:t xml:space="preserve">          Further, Business Rules for e-Reverse Auction and a sample format for e-Reverse Auction Notice is enclosed at Annexure-D(BDS).</w:t>
            </w:r>
            <w:r w:rsidRPr="00FC7099">
              <w:rPr>
                <w:rFonts w:ascii="Palatino Linotype" w:hAnsi="Palatino Linotype" w:cstheme="minorHAnsi"/>
                <w:b/>
                <w:bCs/>
              </w:rPr>
              <w:t xml:space="preserve">  </w:t>
            </w:r>
          </w:p>
        </w:tc>
        <w:tc>
          <w:tcPr>
            <w:tcW w:w="4950" w:type="dxa"/>
          </w:tcPr>
          <w:p w:rsidR="00FC7099" w:rsidRPr="00085463" w:rsidRDefault="00FC7099" w:rsidP="00085463">
            <w:pPr>
              <w:jc w:val="both"/>
              <w:rPr>
                <w:rFonts w:ascii="Palatino Linotype" w:hAnsi="Palatino Linotype" w:cstheme="minorHAnsi"/>
              </w:rPr>
            </w:pPr>
            <w:r w:rsidRPr="00085463">
              <w:rPr>
                <w:rFonts w:ascii="Palatino Linotype" w:hAnsi="Palatino Linotype" w:cstheme="minorHAnsi"/>
              </w:rPr>
              <w:t>Estimated as mentioned in #52, BDS is INR 76.058 Cr for each package. Given the current escalation in metal</w:t>
            </w:r>
            <w:r w:rsidR="00085463">
              <w:rPr>
                <w:rFonts w:ascii="Palatino Linotype" w:hAnsi="Palatino Linotype" w:cstheme="minorHAnsi"/>
              </w:rPr>
              <w:t xml:space="preserve"> </w:t>
            </w:r>
            <w:r w:rsidRPr="00085463">
              <w:rPr>
                <w:rFonts w:ascii="Palatino Linotype" w:hAnsi="Palatino Linotype" w:cstheme="minorHAnsi"/>
              </w:rPr>
              <w:t>prices overall price level increase, and execution constraints, this</w:t>
            </w:r>
            <w:r w:rsidR="00085463" w:rsidRPr="00085463">
              <w:rPr>
                <w:rFonts w:ascii="Palatino Linotype" w:hAnsi="Palatino Linotype" w:cstheme="minorHAnsi"/>
              </w:rPr>
              <w:t xml:space="preserve"> </w:t>
            </w:r>
            <w:r w:rsidRPr="00085463">
              <w:rPr>
                <w:rFonts w:ascii="Palatino Linotype" w:hAnsi="Palatino Linotype" w:cstheme="minorHAnsi"/>
              </w:rPr>
              <w:t>seems too low.</w:t>
            </w:r>
          </w:p>
          <w:p w:rsidR="00085463" w:rsidRPr="00085463" w:rsidRDefault="00085463" w:rsidP="00085463">
            <w:pPr>
              <w:jc w:val="both"/>
              <w:rPr>
                <w:rFonts w:ascii="Palatino Linotype" w:hAnsi="Palatino Linotype" w:cstheme="minorHAnsi"/>
              </w:rPr>
            </w:pPr>
          </w:p>
          <w:p w:rsidR="0049058B" w:rsidRPr="00606105" w:rsidRDefault="00FC7099" w:rsidP="00085463">
            <w:pPr>
              <w:jc w:val="both"/>
              <w:rPr>
                <w:rFonts w:ascii="Palatino Linotype" w:hAnsi="Palatino Linotype" w:cstheme="minorHAnsi"/>
                <w:b/>
                <w:bCs/>
              </w:rPr>
            </w:pPr>
            <w:r w:rsidRPr="00085463">
              <w:rPr>
                <w:rFonts w:ascii="Palatino Linotype" w:hAnsi="Palatino Linotype" w:cstheme="minorHAnsi"/>
              </w:rPr>
              <w:t>We request PGCIL to please re-look</w:t>
            </w:r>
            <w:r w:rsidR="00085463" w:rsidRPr="00085463">
              <w:rPr>
                <w:rFonts w:ascii="Palatino Linotype" w:hAnsi="Palatino Linotype" w:cstheme="minorHAnsi"/>
              </w:rPr>
              <w:t xml:space="preserve"> </w:t>
            </w:r>
            <w:r w:rsidRPr="00085463">
              <w:rPr>
                <w:rFonts w:ascii="Palatino Linotype" w:hAnsi="Palatino Linotype" w:cstheme="minorHAnsi"/>
              </w:rPr>
              <w:t>the budget.</w:t>
            </w:r>
          </w:p>
        </w:tc>
        <w:tc>
          <w:tcPr>
            <w:tcW w:w="3847" w:type="dxa"/>
          </w:tcPr>
          <w:p w:rsidR="0049058B" w:rsidRPr="00085463" w:rsidRDefault="00085463" w:rsidP="00085463">
            <w:pPr>
              <w:jc w:val="both"/>
              <w:rPr>
                <w:rFonts w:ascii="Palatino Linotype" w:hAnsi="Palatino Linotype" w:cstheme="minorHAnsi"/>
              </w:rPr>
            </w:pPr>
            <w:r w:rsidRPr="00085463">
              <w:rPr>
                <w:rFonts w:ascii="Palatino Linotype" w:hAnsi="Palatino Linotype" w:cstheme="minorHAnsi"/>
              </w:rPr>
              <w:t xml:space="preserve">The provisions of the Bidding Documents shall remain </w:t>
            </w:r>
            <w:r>
              <w:rPr>
                <w:rFonts w:ascii="Palatino Linotype" w:hAnsi="Palatino Linotype" w:cstheme="minorHAnsi"/>
              </w:rPr>
              <w:t>unaltered</w:t>
            </w:r>
            <w:r w:rsidRPr="00085463">
              <w:rPr>
                <w:rFonts w:ascii="Palatino Linotype" w:hAnsi="Palatino Linotype" w:cstheme="minorHAnsi"/>
              </w:rPr>
              <w:t>.</w:t>
            </w:r>
            <w:r>
              <w:rPr>
                <w:rFonts w:ascii="Palatino Linotype" w:hAnsi="Palatino Linotype" w:cstheme="minorHAnsi"/>
              </w:rPr>
              <w:t xml:space="preserve"> </w:t>
            </w:r>
          </w:p>
          <w:p w:rsidR="00085463" w:rsidRDefault="00085463" w:rsidP="00085463">
            <w:pPr>
              <w:jc w:val="both"/>
              <w:rPr>
                <w:rFonts w:ascii="Palatino Linotype" w:hAnsi="Palatino Linotype" w:cstheme="minorHAnsi"/>
                <w:b/>
                <w:bCs/>
              </w:rPr>
            </w:pPr>
          </w:p>
          <w:p w:rsidR="00085463" w:rsidRPr="00606105" w:rsidRDefault="00085463" w:rsidP="00085463">
            <w:pPr>
              <w:jc w:val="both"/>
              <w:rPr>
                <w:rFonts w:ascii="Palatino Linotype" w:hAnsi="Palatino Linotype" w:cstheme="minorHAnsi"/>
                <w:b/>
                <w:bCs/>
              </w:rPr>
            </w:pPr>
          </w:p>
        </w:tc>
      </w:tr>
      <w:tr w:rsidR="00FC7099" w:rsidRPr="00606105" w:rsidTr="00085463">
        <w:trPr>
          <w:trHeight w:val="2389"/>
        </w:trPr>
        <w:tc>
          <w:tcPr>
            <w:tcW w:w="610" w:type="dxa"/>
          </w:tcPr>
          <w:p w:rsidR="00FC7099" w:rsidRPr="00606105" w:rsidRDefault="00FC7099" w:rsidP="00085463">
            <w:pPr>
              <w:pStyle w:val="Default"/>
              <w:jc w:val="both"/>
              <w:rPr>
                <w:rFonts w:cstheme="minorHAnsi"/>
                <w:color w:val="auto"/>
              </w:rPr>
            </w:pPr>
            <w:r>
              <w:rPr>
                <w:rFonts w:cstheme="minorHAnsi"/>
                <w:color w:val="auto"/>
              </w:rPr>
              <w:lastRenderedPageBreak/>
              <w:t>2</w:t>
            </w:r>
          </w:p>
        </w:tc>
        <w:tc>
          <w:tcPr>
            <w:tcW w:w="1570" w:type="dxa"/>
          </w:tcPr>
          <w:p w:rsidR="00FC7099" w:rsidRPr="00606105" w:rsidRDefault="00FC7099" w:rsidP="00085463">
            <w:pPr>
              <w:jc w:val="both"/>
              <w:rPr>
                <w:rFonts w:ascii="Palatino Linotype" w:hAnsi="Palatino Linotype" w:cstheme="minorHAnsi"/>
              </w:rPr>
            </w:pPr>
            <w:r w:rsidRPr="00606105">
              <w:rPr>
                <w:rFonts w:ascii="Palatino Linotype" w:hAnsi="Palatino Linotype" w:cstheme="minorHAnsi"/>
              </w:rPr>
              <w:t>Volume II, Section III, Clause 1.6.8</w:t>
            </w:r>
          </w:p>
          <w:p w:rsidR="00FC7099" w:rsidRPr="00606105" w:rsidRDefault="00FC7099" w:rsidP="00085463">
            <w:pPr>
              <w:jc w:val="both"/>
              <w:rPr>
                <w:rFonts w:ascii="Palatino Linotype" w:hAnsi="Palatino Linotype" w:cstheme="minorHAnsi"/>
              </w:rPr>
            </w:pPr>
          </w:p>
          <w:p w:rsidR="00FC7099" w:rsidRPr="00606105" w:rsidRDefault="00FC7099" w:rsidP="00085463">
            <w:pPr>
              <w:jc w:val="both"/>
              <w:rPr>
                <w:rFonts w:ascii="Palatino Linotype" w:hAnsi="Palatino Linotype" w:cstheme="minorHAnsi"/>
              </w:rPr>
            </w:pPr>
          </w:p>
        </w:tc>
        <w:tc>
          <w:tcPr>
            <w:tcW w:w="4750" w:type="dxa"/>
          </w:tcPr>
          <w:p w:rsidR="00FC7099" w:rsidRPr="00606105" w:rsidRDefault="00FC7099" w:rsidP="00085463">
            <w:pPr>
              <w:widowControl w:val="0"/>
              <w:spacing w:line="240" w:lineRule="atLeast"/>
              <w:jc w:val="both"/>
              <w:rPr>
                <w:rFonts w:ascii="Palatino Linotype" w:hAnsi="Palatino Linotype" w:cstheme="minorHAnsi"/>
                <w:b/>
                <w:bCs/>
              </w:rPr>
            </w:pPr>
            <w:r w:rsidRPr="00606105">
              <w:rPr>
                <w:rFonts w:ascii="Palatino Linotype" w:hAnsi="Palatino Linotype" w:cstheme="minorHAnsi"/>
              </w:rPr>
              <w:t>Slip strength of the offered suspension clamp shall be within 12% to 18% of UTS of the offered HTLS Conductor</w:t>
            </w:r>
          </w:p>
        </w:tc>
        <w:tc>
          <w:tcPr>
            <w:tcW w:w="4950" w:type="dxa"/>
          </w:tcPr>
          <w:p w:rsidR="00FC7099" w:rsidRDefault="00FC7099" w:rsidP="00085463">
            <w:pPr>
              <w:jc w:val="both"/>
              <w:rPr>
                <w:rFonts w:ascii="Palatino Linotype" w:hAnsi="Palatino Linotype"/>
              </w:rPr>
            </w:pPr>
            <w:r w:rsidRPr="00606105">
              <w:rPr>
                <w:rFonts w:ascii="Palatino Linotype" w:hAnsi="Palatino Linotype"/>
              </w:rPr>
              <w:t xml:space="preserve">As per Technical Specification clause 1.6.8, Slip strength of the offered suspension clamp shall be within 12% to 18% of UTS of the offered HTLS Conductor. </w:t>
            </w:r>
          </w:p>
          <w:p w:rsidR="00AE03E1" w:rsidRPr="00606105" w:rsidRDefault="00AE03E1" w:rsidP="00085463">
            <w:pPr>
              <w:jc w:val="both"/>
              <w:rPr>
                <w:rFonts w:ascii="Palatino Linotype" w:hAnsi="Palatino Linotype"/>
              </w:rPr>
            </w:pPr>
          </w:p>
          <w:p w:rsidR="00FC7099" w:rsidRPr="00606105" w:rsidRDefault="00FC7099" w:rsidP="00085463">
            <w:pPr>
              <w:jc w:val="both"/>
              <w:rPr>
                <w:rFonts w:ascii="Palatino Linotype" w:hAnsi="Palatino Linotype"/>
              </w:rPr>
            </w:pPr>
            <w:r w:rsidRPr="00606105">
              <w:rPr>
                <w:rFonts w:ascii="Palatino Linotype" w:hAnsi="Palatino Linotype"/>
              </w:rPr>
              <w:t xml:space="preserve">Major factor to be considered is that Outer layer of HTLS conductor is made of very soft annealed Aluminum Alloy. Hence slip strength of same can’t be similar to that of conventional conductor since Slip strength is based on capability of conductor as well without deformation. </w:t>
            </w:r>
          </w:p>
          <w:p w:rsidR="00FC7099" w:rsidRPr="00606105" w:rsidRDefault="00FC7099" w:rsidP="00085463">
            <w:pPr>
              <w:jc w:val="both"/>
              <w:rPr>
                <w:rFonts w:ascii="Palatino Linotype" w:hAnsi="Palatino Linotype"/>
              </w:rPr>
            </w:pPr>
          </w:p>
          <w:p w:rsidR="00FC7099" w:rsidRPr="00606105" w:rsidRDefault="00FC7099" w:rsidP="00085463">
            <w:pPr>
              <w:jc w:val="both"/>
              <w:rPr>
                <w:rFonts w:ascii="Palatino Linotype" w:hAnsi="Palatino Linotype"/>
              </w:rPr>
            </w:pPr>
            <w:r w:rsidRPr="00606105">
              <w:rPr>
                <w:rFonts w:ascii="Palatino Linotype" w:hAnsi="Palatino Linotype"/>
              </w:rPr>
              <w:t xml:space="preserve">As per IS 2486 Part -1, clause 11.1.1 slip strength required range is 8% to 15 % of conductor UTS. </w:t>
            </w:r>
          </w:p>
          <w:p w:rsidR="00FC7099" w:rsidRPr="00606105" w:rsidRDefault="00FC7099" w:rsidP="00085463">
            <w:pPr>
              <w:jc w:val="both"/>
              <w:rPr>
                <w:rFonts w:ascii="Palatino Linotype" w:hAnsi="Palatino Linotype"/>
              </w:rPr>
            </w:pPr>
          </w:p>
          <w:p w:rsidR="00FC7099" w:rsidRPr="00606105" w:rsidRDefault="00FC7099" w:rsidP="00085463">
            <w:pPr>
              <w:jc w:val="both"/>
              <w:rPr>
                <w:rFonts w:ascii="Palatino Linotype" w:hAnsi="Palatino Linotype" w:cstheme="minorHAnsi"/>
                <w:b/>
                <w:bCs/>
              </w:rPr>
            </w:pPr>
            <w:r w:rsidRPr="00606105">
              <w:rPr>
                <w:rFonts w:ascii="Palatino Linotype" w:hAnsi="Palatino Linotype"/>
              </w:rPr>
              <w:t>We therefore kindly request to revise the Slip strength requirement as per IS referred above.</w:t>
            </w:r>
          </w:p>
        </w:tc>
        <w:tc>
          <w:tcPr>
            <w:tcW w:w="3847" w:type="dxa"/>
          </w:tcPr>
          <w:p w:rsidR="00FC7099" w:rsidRPr="00606105" w:rsidRDefault="00FC7099" w:rsidP="00085463">
            <w:pPr>
              <w:jc w:val="both"/>
              <w:rPr>
                <w:rFonts w:ascii="Palatino Linotype" w:hAnsi="Palatino Linotype" w:cstheme="minorHAnsi"/>
              </w:rPr>
            </w:pPr>
            <w:r w:rsidRPr="00606105">
              <w:rPr>
                <w:rFonts w:ascii="Palatino Linotype" w:hAnsi="Palatino Linotype" w:cstheme="minorHAnsi"/>
              </w:rPr>
              <w:t>Provisions of the bidding documents remain unchanged.</w:t>
            </w:r>
          </w:p>
          <w:p w:rsidR="00FC7099" w:rsidRPr="00606105" w:rsidRDefault="00FC7099" w:rsidP="00085463">
            <w:pPr>
              <w:jc w:val="both"/>
              <w:rPr>
                <w:rFonts w:ascii="Palatino Linotype" w:hAnsi="Palatino Linotype" w:cstheme="minorHAnsi"/>
                <w:b/>
                <w:bCs/>
              </w:rPr>
            </w:pPr>
          </w:p>
        </w:tc>
      </w:tr>
      <w:tr w:rsidR="00FC7099" w:rsidRPr="00606105" w:rsidTr="00085463">
        <w:trPr>
          <w:trHeight w:val="3770"/>
        </w:trPr>
        <w:tc>
          <w:tcPr>
            <w:tcW w:w="610" w:type="dxa"/>
          </w:tcPr>
          <w:p w:rsidR="00FC7099" w:rsidRPr="00606105" w:rsidRDefault="00FC7099" w:rsidP="00085463">
            <w:pPr>
              <w:pStyle w:val="Default"/>
              <w:jc w:val="both"/>
              <w:rPr>
                <w:rFonts w:cstheme="minorHAnsi"/>
                <w:color w:val="auto"/>
              </w:rPr>
            </w:pPr>
            <w:r>
              <w:rPr>
                <w:rFonts w:cstheme="minorHAnsi"/>
                <w:color w:val="auto"/>
              </w:rPr>
              <w:lastRenderedPageBreak/>
              <w:t>3</w:t>
            </w:r>
          </w:p>
        </w:tc>
        <w:tc>
          <w:tcPr>
            <w:tcW w:w="1570" w:type="dxa"/>
          </w:tcPr>
          <w:p w:rsidR="00FC7099" w:rsidRPr="00606105" w:rsidRDefault="00FC7099" w:rsidP="00085463">
            <w:pPr>
              <w:jc w:val="both"/>
              <w:rPr>
                <w:rFonts w:ascii="Palatino Linotype" w:hAnsi="Palatino Linotype" w:cstheme="minorHAnsi"/>
              </w:rPr>
            </w:pPr>
            <w:r w:rsidRPr="00606105">
              <w:rPr>
                <w:rFonts w:ascii="Palatino Linotype" w:hAnsi="Palatino Linotype" w:cstheme="minorHAnsi"/>
              </w:rPr>
              <w:t xml:space="preserve">Volume II, Section III, Page 8, </w:t>
            </w:r>
          </w:p>
          <w:p w:rsidR="00FC7099" w:rsidRPr="00606105" w:rsidRDefault="00FC7099" w:rsidP="00085463">
            <w:pPr>
              <w:jc w:val="both"/>
              <w:rPr>
                <w:rFonts w:ascii="Palatino Linotype" w:hAnsi="Palatino Linotype" w:cstheme="minorHAnsi"/>
              </w:rPr>
            </w:pPr>
            <w:r w:rsidRPr="00606105">
              <w:rPr>
                <w:rFonts w:ascii="Palatino Linotype" w:hAnsi="Palatino Linotype" w:cstheme="minorHAnsi"/>
              </w:rPr>
              <w:t xml:space="preserve">TABLE-1 (Details of materials), Sr. No. 4 </w:t>
            </w:r>
          </w:p>
        </w:tc>
        <w:tc>
          <w:tcPr>
            <w:tcW w:w="4750" w:type="dxa"/>
          </w:tcPr>
          <w:p w:rsidR="00FC7099" w:rsidRPr="00606105" w:rsidRDefault="00FC7099" w:rsidP="00085463">
            <w:pPr>
              <w:pStyle w:val="Default"/>
              <w:jc w:val="both"/>
            </w:pPr>
            <w:r w:rsidRPr="00606105">
              <w:rPr>
                <w:b/>
                <w:bCs/>
              </w:rPr>
              <w:t xml:space="preserve">For Dead End Assembly </w:t>
            </w:r>
          </w:p>
          <w:p w:rsidR="00FC7099" w:rsidRPr="00606105" w:rsidRDefault="00FC7099" w:rsidP="00085463">
            <w:pPr>
              <w:pStyle w:val="Default"/>
              <w:numPr>
                <w:ilvl w:val="0"/>
                <w:numId w:val="43"/>
              </w:numPr>
              <w:jc w:val="both"/>
              <w:rPr>
                <w:b/>
                <w:bCs/>
              </w:rPr>
            </w:pPr>
            <w:r w:rsidRPr="00606105">
              <w:rPr>
                <w:bCs/>
              </w:rPr>
              <w:t>Outer Sleeve -</w:t>
            </w:r>
            <w:r w:rsidRPr="00606105">
              <w:rPr>
                <w:b/>
                <w:bCs/>
              </w:rPr>
              <w:t xml:space="preserve"> </w:t>
            </w:r>
            <w:r w:rsidRPr="00606105">
              <w:t xml:space="preserve">EC grade Al of purity not less than 99.50% </w:t>
            </w:r>
          </w:p>
          <w:p w:rsidR="00FC7099" w:rsidRPr="00606105" w:rsidRDefault="00FC7099" w:rsidP="00085463">
            <w:pPr>
              <w:pStyle w:val="Default"/>
              <w:ind w:left="720"/>
              <w:jc w:val="both"/>
              <w:rPr>
                <w:rFonts w:cstheme="minorHAnsi"/>
                <w:b/>
              </w:rPr>
            </w:pPr>
          </w:p>
        </w:tc>
        <w:tc>
          <w:tcPr>
            <w:tcW w:w="4950" w:type="dxa"/>
          </w:tcPr>
          <w:p w:rsidR="00FC7099" w:rsidRPr="00606105" w:rsidRDefault="00FC7099" w:rsidP="00085463">
            <w:pPr>
              <w:jc w:val="both"/>
              <w:rPr>
                <w:rFonts w:ascii="Palatino Linotype" w:hAnsi="Palatino Linotype" w:cstheme="minorHAnsi"/>
              </w:rPr>
            </w:pPr>
            <w:r w:rsidRPr="00606105">
              <w:rPr>
                <w:rFonts w:ascii="Palatino Linotype" w:hAnsi="Palatino Linotype"/>
              </w:rPr>
              <w:t>Request to include “Grade 6060” as well which meets both electrical as well mechanical reqts.</w:t>
            </w:r>
          </w:p>
        </w:tc>
        <w:tc>
          <w:tcPr>
            <w:tcW w:w="3847" w:type="dxa"/>
          </w:tcPr>
          <w:p w:rsidR="00FC7099" w:rsidRPr="00606105" w:rsidRDefault="00FC7099" w:rsidP="00085463">
            <w:pPr>
              <w:jc w:val="both"/>
              <w:rPr>
                <w:rFonts w:ascii="Palatino Linotype" w:hAnsi="Palatino Linotype" w:cstheme="minorHAnsi"/>
              </w:rPr>
            </w:pPr>
            <w:r w:rsidRPr="00606105">
              <w:rPr>
                <w:rFonts w:ascii="Palatino Linotype" w:hAnsi="Palatino Linotype" w:cstheme="minorHAnsi"/>
              </w:rPr>
              <w:t>Provisions of the bidding documents remain unchanged.</w:t>
            </w:r>
          </w:p>
          <w:p w:rsidR="00FC7099" w:rsidRPr="00606105" w:rsidRDefault="00FC7099" w:rsidP="00085463">
            <w:pPr>
              <w:jc w:val="both"/>
              <w:rPr>
                <w:rFonts w:ascii="Palatino Linotype" w:hAnsi="Palatino Linotype" w:cstheme="minorHAnsi"/>
              </w:rPr>
            </w:pPr>
          </w:p>
        </w:tc>
      </w:tr>
      <w:tr w:rsidR="00FC7099" w:rsidRPr="00606105" w:rsidTr="00085463">
        <w:trPr>
          <w:trHeight w:val="3770"/>
        </w:trPr>
        <w:tc>
          <w:tcPr>
            <w:tcW w:w="610" w:type="dxa"/>
          </w:tcPr>
          <w:p w:rsidR="00FC7099" w:rsidRDefault="00FC7099" w:rsidP="00085463">
            <w:pPr>
              <w:pStyle w:val="Default"/>
              <w:jc w:val="both"/>
              <w:rPr>
                <w:rFonts w:cstheme="minorHAnsi"/>
                <w:color w:val="auto"/>
              </w:rPr>
            </w:pPr>
            <w:r>
              <w:rPr>
                <w:rFonts w:cstheme="minorHAnsi"/>
                <w:color w:val="auto"/>
              </w:rPr>
              <w:t>4</w:t>
            </w:r>
          </w:p>
        </w:tc>
        <w:tc>
          <w:tcPr>
            <w:tcW w:w="1570" w:type="dxa"/>
          </w:tcPr>
          <w:p w:rsidR="00FC7099" w:rsidRPr="00606105" w:rsidRDefault="00085463" w:rsidP="00085463">
            <w:pPr>
              <w:jc w:val="both"/>
              <w:rPr>
                <w:rFonts w:ascii="Palatino Linotype" w:hAnsi="Palatino Linotype"/>
              </w:rPr>
            </w:pPr>
            <w:r>
              <w:rPr>
                <w:rFonts w:ascii="Palatino Linotype" w:hAnsi="Palatino Linotype"/>
              </w:rPr>
              <w:t>General</w:t>
            </w:r>
          </w:p>
        </w:tc>
        <w:tc>
          <w:tcPr>
            <w:tcW w:w="4750" w:type="dxa"/>
          </w:tcPr>
          <w:p w:rsidR="00FC7099" w:rsidRPr="00606105" w:rsidRDefault="00FC7099" w:rsidP="00085463">
            <w:pPr>
              <w:pStyle w:val="Default"/>
              <w:jc w:val="both"/>
              <w:rPr>
                <w:bCs/>
              </w:rPr>
            </w:pPr>
          </w:p>
        </w:tc>
        <w:tc>
          <w:tcPr>
            <w:tcW w:w="4950" w:type="dxa"/>
          </w:tcPr>
          <w:p w:rsidR="008802AE" w:rsidRDefault="00FC7099" w:rsidP="00085463">
            <w:pPr>
              <w:jc w:val="both"/>
              <w:rPr>
                <w:rFonts w:ascii="Palatino Linotype" w:hAnsi="Palatino Linotype"/>
              </w:rPr>
            </w:pPr>
            <w:r w:rsidRPr="00606105">
              <w:rPr>
                <w:rFonts w:ascii="Palatino Linotype" w:hAnsi="Palatino Linotype"/>
              </w:rPr>
              <w:t>If possible please arrange tower schedule with coordinate and also need one contact person details from client for survey work.</w:t>
            </w:r>
          </w:p>
          <w:p w:rsidR="008802AE" w:rsidRPr="008802AE" w:rsidRDefault="008802AE" w:rsidP="008802AE">
            <w:pPr>
              <w:rPr>
                <w:rFonts w:ascii="Palatino Linotype" w:hAnsi="Palatino Linotype"/>
              </w:rPr>
            </w:pPr>
          </w:p>
          <w:p w:rsidR="008802AE" w:rsidRDefault="008802AE" w:rsidP="008802AE">
            <w:pPr>
              <w:rPr>
                <w:rFonts w:ascii="Palatino Linotype" w:hAnsi="Palatino Linotype"/>
              </w:rPr>
            </w:pPr>
          </w:p>
          <w:p w:rsidR="00FC7099" w:rsidRPr="008802AE" w:rsidRDefault="00FC7099" w:rsidP="008802AE">
            <w:pPr>
              <w:jc w:val="center"/>
              <w:rPr>
                <w:rFonts w:ascii="Palatino Linotype" w:hAnsi="Palatino Linotype"/>
              </w:rPr>
            </w:pPr>
            <w:bookmarkStart w:id="0" w:name="_GoBack"/>
            <w:bookmarkEnd w:id="0"/>
          </w:p>
        </w:tc>
        <w:tc>
          <w:tcPr>
            <w:tcW w:w="3847" w:type="dxa"/>
          </w:tcPr>
          <w:p w:rsidR="00FC7099" w:rsidRPr="00606105" w:rsidRDefault="00FC7099" w:rsidP="00085463">
            <w:pPr>
              <w:jc w:val="both"/>
              <w:rPr>
                <w:rFonts w:ascii="Palatino Linotype" w:hAnsi="Palatino Linotype" w:cstheme="minorHAnsi"/>
              </w:rPr>
            </w:pPr>
            <w:r w:rsidRPr="00606105">
              <w:rPr>
                <w:rFonts w:ascii="Palatino Linotype" w:hAnsi="Palatino Linotype" w:cs="Helvetica"/>
              </w:rPr>
              <w:t>Bidders may visit the line route to acquaint themselves with terrain/topography etc. &amp; local conditions of the site as per C</w:t>
            </w:r>
            <w:r w:rsidRPr="00606105">
              <w:rPr>
                <w:rFonts w:ascii="Palatino Linotype" w:hAnsi="Palatino Linotype"/>
                <w:color w:val="000000"/>
              </w:rPr>
              <w:t xml:space="preserve">lause 11.3, Section-I, of Technical specification. The details of RHQ office have also been specified therein. For any further details in respect of subject </w:t>
            </w:r>
            <w:r w:rsidRPr="00606105">
              <w:rPr>
                <w:rFonts w:ascii="Palatino Linotype" w:hAnsi="Palatino Linotype"/>
                <w:color w:val="222222"/>
              </w:rPr>
              <w:t>Transmission Lines</w:t>
            </w:r>
            <w:r w:rsidRPr="00606105">
              <w:rPr>
                <w:rFonts w:ascii="Palatino Linotype" w:hAnsi="Palatino Linotype"/>
                <w:color w:val="000000"/>
              </w:rPr>
              <w:t>, the said office may be contacted.</w:t>
            </w:r>
          </w:p>
        </w:tc>
      </w:tr>
    </w:tbl>
    <w:p w:rsidR="00B87890" w:rsidRPr="00606105" w:rsidRDefault="00B87890" w:rsidP="00085463">
      <w:pPr>
        <w:tabs>
          <w:tab w:val="left" w:pos="7770"/>
        </w:tabs>
        <w:jc w:val="both"/>
        <w:rPr>
          <w:rFonts w:ascii="Palatino Linotype" w:hAnsi="Palatino Linotype" w:cstheme="minorHAnsi"/>
        </w:rPr>
      </w:pPr>
    </w:p>
    <w:sectPr w:rsidR="00B87890" w:rsidRPr="00606105" w:rsidSect="00DE4402">
      <w:headerReference w:type="default" r:id="rId8"/>
      <w:footerReference w:type="default" r:id="rId9"/>
      <w:pgSz w:w="16838" w:h="11906" w:orient="landscape" w:code="9"/>
      <w:pgMar w:top="1800" w:right="1418" w:bottom="1170" w:left="1418" w:header="540" w:footer="4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1BD" w:rsidRDefault="00B101BD">
      <w:r>
        <w:separator/>
      </w:r>
    </w:p>
  </w:endnote>
  <w:endnote w:type="continuationSeparator" w:id="0">
    <w:p w:rsidR="00B101BD" w:rsidRDefault="00B1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B5" w:rsidRDefault="007D37B5">
    <w:pPr>
      <w:pStyle w:val="Footer"/>
      <w:jc w:val="right"/>
    </w:pPr>
    <w:r>
      <w:t xml:space="preserve"> Page </w:t>
    </w:r>
    <w:sdt>
      <w:sdtPr>
        <w:id w:val="19046424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02AE">
          <w:rPr>
            <w:noProof/>
          </w:rPr>
          <w:t>1</w:t>
        </w:r>
        <w:r>
          <w:rPr>
            <w:noProof/>
          </w:rPr>
          <w:fldChar w:fldCharType="end"/>
        </w:r>
        <w:r>
          <w:rPr>
            <w:noProof/>
          </w:rPr>
          <w:t xml:space="preserve"> of </w:t>
        </w:r>
        <w:r w:rsidR="00085463">
          <w:rPr>
            <w:noProof/>
          </w:rPr>
          <w:t>3</w:t>
        </w:r>
      </w:sdtContent>
    </w:sdt>
  </w:p>
  <w:p w:rsidR="007D37B5" w:rsidRDefault="007D3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1BD" w:rsidRDefault="00B101BD">
      <w:r>
        <w:separator/>
      </w:r>
    </w:p>
  </w:footnote>
  <w:footnote w:type="continuationSeparator" w:id="0">
    <w:p w:rsidR="00B101BD" w:rsidRDefault="00B1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6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0"/>
    </w:tblGrid>
    <w:tr w:rsidR="007D37B5" w:rsidRPr="00B160BC" w:rsidTr="00D327B7">
      <w:trPr>
        <w:trHeight w:val="604"/>
      </w:trPr>
      <w:tc>
        <w:tcPr>
          <w:tcW w:w="15660" w:type="dxa"/>
          <w:tcBorders>
            <w:bottom w:val="single" w:sz="4" w:space="0" w:color="auto"/>
          </w:tcBorders>
          <w:vAlign w:val="center"/>
        </w:tcPr>
        <w:p w:rsidR="003217DC" w:rsidRPr="003217DC" w:rsidRDefault="007D37B5" w:rsidP="003217DC">
          <w:pPr>
            <w:jc w:val="both"/>
            <w:rPr>
              <w:rFonts w:asciiTheme="minorHAnsi" w:hAnsiTheme="minorHAnsi" w:cstheme="minorHAnsi"/>
              <w:b/>
              <w:sz w:val="22"/>
              <w:szCs w:val="22"/>
              <w:lang w:val="en-GB"/>
            </w:rPr>
          </w:pPr>
          <w:r w:rsidRPr="00DE4402">
            <w:rPr>
              <w:rFonts w:asciiTheme="minorHAnsi" w:hAnsiTheme="minorHAnsi" w:cstheme="minorHAnsi"/>
              <w:b/>
              <w:sz w:val="22"/>
              <w:szCs w:val="22"/>
              <w:lang w:val="en-GB"/>
            </w:rPr>
            <w:t>C</w:t>
          </w:r>
          <w:r w:rsidR="003217DC">
            <w:rPr>
              <w:rFonts w:asciiTheme="minorHAnsi" w:hAnsiTheme="minorHAnsi" w:cstheme="minorHAnsi"/>
              <w:b/>
              <w:sz w:val="22"/>
              <w:szCs w:val="22"/>
              <w:lang w:val="en-GB"/>
            </w:rPr>
            <w:t>larification</w:t>
          </w:r>
          <w:r w:rsidR="00DE73E8">
            <w:rPr>
              <w:rFonts w:asciiTheme="minorHAnsi" w:hAnsiTheme="minorHAnsi" w:cstheme="minorHAnsi"/>
              <w:b/>
              <w:sz w:val="22"/>
              <w:szCs w:val="22"/>
              <w:lang w:val="en-GB"/>
            </w:rPr>
            <w:t xml:space="preserve"> No</w:t>
          </w:r>
          <w:r w:rsidR="003217DC">
            <w:rPr>
              <w:rFonts w:asciiTheme="minorHAnsi" w:hAnsiTheme="minorHAnsi" w:cstheme="minorHAnsi"/>
              <w:b/>
              <w:sz w:val="22"/>
              <w:szCs w:val="22"/>
              <w:lang w:val="en-GB"/>
            </w:rPr>
            <w:t>-I</w:t>
          </w:r>
          <w:r w:rsidRPr="00DE4402">
            <w:rPr>
              <w:rFonts w:asciiTheme="minorHAnsi" w:hAnsiTheme="minorHAnsi" w:cstheme="minorHAnsi"/>
              <w:b/>
              <w:sz w:val="22"/>
              <w:szCs w:val="22"/>
              <w:lang w:val="en-GB"/>
            </w:rPr>
            <w:t xml:space="preserve"> </w:t>
          </w:r>
          <w:r w:rsidR="00DE73E8">
            <w:rPr>
              <w:rFonts w:asciiTheme="minorHAnsi" w:hAnsiTheme="minorHAnsi" w:cstheme="minorHAnsi"/>
              <w:b/>
              <w:sz w:val="22"/>
              <w:szCs w:val="22"/>
              <w:lang w:val="en-GB"/>
            </w:rPr>
            <w:t xml:space="preserve">dated </w:t>
          </w:r>
          <w:r w:rsidR="008802AE">
            <w:rPr>
              <w:rFonts w:asciiTheme="minorHAnsi" w:hAnsiTheme="minorHAnsi" w:cstheme="minorHAnsi"/>
              <w:b/>
              <w:sz w:val="22"/>
              <w:szCs w:val="22"/>
              <w:lang w:val="en-GB"/>
            </w:rPr>
            <w:t>19</w:t>
          </w:r>
          <w:r w:rsidR="00DE73E8">
            <w:rPr>
              <w:rFonts w:asciiTheme="minorHAnsi" w:hAnsiTheme="minorHAnsi" w:cstheme="minorHAnsi"/>
              <w:b/>
              <w:sz w:val="22"/>
              <w:szCs w:val="22"/>
              <w:lang w:val="en-GB"/>
            </w:rPr>
            <w:t xml:space="preserve">.04.2021 </w:t>
          </w:r>
          <w:r w:rsidRPr="00DE4402">
            <w:rPr>
              <w:rFonts w:asciiTheme="minorHAnsi" w:hAnsiTheme="minorHAnsi" w:cstheme="minorHAnsi"/>
              <w:b/>
              <w:sz w:val="22"/>
              <w:szCs w:val="22"/>
              <w:lang w:val="en-GB"/>
            </w:rPr>
            <w:t xml:space="preserve">to </w:t>
          </w:r>
          <w:r w:rsidR="00FC7099">
            <w:rPr>
              <w:rFonts w:asciiTheme="minorHAnsi" w:hAnsiTheme="minorHAnsi" w:cstheme="minorHAnsi"/>
              <w:b/>
              <w:sz w:val="22"/>
              <w:szCs w:val="22"/>
              <w:lang w:val="en-GB"/>
            </w:rPr>
            <w:t xml:space="preserve">the </w:t>
          </w:r>
          <w:r w:rsidRPr="00DE4402">
            <w:rPr>
              <w:rFonts w:asciiTheme="minorHAnsi" w:hAnsiTheme="minorHAnsi" w:cstheme="minorHAnsi"/>
              <w:b/>
              <w:sz w:val="22"/>
              <w:szCs w:val="22"/>
              <w:lang w:val="en-GB"/>
            </w:rPr>
            <w:t>Bidding Document</w:t>
          </w:r>
          <w:r w:rsidR="00FC7099">
            <w:rPr>
              <w:rFonts w:asciiTheme="minorHAnsi" w:hAnsiTheme="minorHAnsi" w:cstheme="minorHAnsi"/>
              <w:b/>
              <w:sz w:val="22"/>
              <w:szCs w:val="22"/>
              <w:lang w:val="en-GB"/>
            </w:rPr>
            <w:t>s</w:t>
          </w:r>
          <w:r w:rsidR="003217DC">
            <w:rPr>
              <w:rFonts w:asciiTheme="minorHAnsi" w:hAnsiTheme="minorHAnsi" w:cstheme="minorHAnsi"/>
              <w:b/>
              <w:sz w:val="22"/>
              <w:szCs w:val="22"/>
              <w:lang w:val="en-GB"/>
            </w:rPr>
            <w:t xml:space="preserve"> for Reconductoring Package-OH01A &amp; OH01B</w:t>
          </w:r>
          <w:r w:rsidR="00D06E14">
            <w:rPr>
              <w:rFonts w:asciiTheme="minorHAnsi" w:hAnsiTheme="minorHAnsi" w:cstheme="minorHAnsi"/>
              <w:b/>
              <w:sz w:val="22"/>
              <w:szCs w:val="22"/>
              <w:lang w:val="en-GB"/>
            </w:rPr>
            <w:t xml:space="preserve"> for</w:t>
          </w:r>
          <w:r w:rsidR="003217DC" w:rsidRPr="003217DC">
            <w:rPr>
              <w:rFonts w:asciiTheme="minorHAnsi" w:hAnsiTheme="minorHAnsi" w:cstheme="minorHAnsi"/>
              <w:b/>
              <w:sz w:val="22"/>
              <w:szCs w:val="22"/>
              <w:lang w:val="en-GB"/>
            </w:rPr>
            <w:t xml:space="preserve"> Reconductoring of 400 KV transmission line with Twin HTLS conductor including supply of</w:t>
          </w:r>
          <w:r w:rsidR="00D06E14">
            <w:rPr>
              <w:rFonts w:asciiTheme="minorHAnsi" w:hAnsiTheme="minorHAnsi" w:cstheme="minorHAnsi"/>
              <w:b/>
              <w:sz w:val="22"/>
              <w:szCs w:val="22"/>
              <w:lang w:val="en-GB"/>
            </w:rPr>
            <w:t xml:space="preserve"> </w:t>
          </w:r>
          <w:r w:rsidR="003217DC" w:rsidRPr="003217DC">
            <w:rPr>
              <w:rFonts w:asciiTheme="minorHAnsi" w:hAnsiTheme="minorHAnsi" w:cstheme="minorHAnsi"/>
              <w:b/>
              <w:sz w:val="22"/>
              <w:szCs w:val="22"/>
              <w:lang w:val="en-GB"/>
            </w:rPr>
            <w:t>HTLS conductor, associated clamps fittings &amp; accessories and assorted (missing members)</w:t>
          </w:r>
          <w:r w:rsidR="00D06E14">
            <w:rPr>
              <w:rFonts w:asciiTheme="minorHAnsi" w:hAnsiTheme="minorHAnsi" w:cstheme="minorHAnsi"/>
              <w:b/>
              <w:sz w:val="22"/>
              <w:szCs w:val="22"/>
              <w:lang w:val="en-GB"/>
            </w:rPr>
            <w:t xml:space="preserve"> </w:t>
          </w:r>
          <w:r w:rsidR="003217DC" w:rsidRPr="003217DC">
            <w:rPr>
              <w:rFonts w:asciiTheme="minorHAnsi" w:hAnsiTheme="minorHAnsi" w:cstheme="minorHAnsi"/>
              <w:b/>
              <w:sz w:val="22"/>
              <w:szCs w:val="22"/>
              <w:lang w:val="en-GB"/>
            </w:rPr>
            <w:t>tower parts for 400 kV D/C (Twin Moose) Siliguri – Bongaigaon TL (218 Km line length)</w:t>
          </w:r>
          <w:r w:rsidR="00D06E14">
            <w:rPr>
              <w:rFonts w:asciiTheme="minorHAnsi" w:hAnsiTheme="minorHAnsi" w:cstheme="minorHAnsi"/>
              <w:b/>
              <w:sz w:val="22"/>
              <w:szCs w:val="22"/>
              <w:lang w:val="en-GB"/>
            </w:rPr>
            <w:t xml:space="preserve"> </w:t>
          </w:r>
          <w:r w:rsidR="003217DC" w:rsidRPr="003217DC">
            <w:rPr>
              <w:rFonts w:asciiTheme="minorHAnsi" w:hAnsiTheme="minorHAnsi" w:cstheme="minorHAnsi"/>
              <w:b/>
              <w:sz w:val="22"/>
              <w:szCs w:val="22"/>
              <w:lang w:val="en-GB"/>
            </w:rPr>
            <w:t>associated with North Eastern Region Strengthening Scheme (NERSS)-XII.</w:t>
          </w:r>
        </w:p>
        <w:p w:rsidR="007D37B5" w:rsidRPr="00DE4402" w:rsidRDefault="00360E2F" w:rsidP="00085463">
          <w:pPr>
            <w:jc w:val="both"/>
            <w:rPr>
              <w:rFonts w:asciiTheme="minorHAnsi" w:hAnsiTheme="minorHAnsi" w:cstheme="minorHAnsi"/>
              <w:b/>
              <w:sz w:val="22"/>
              <w:szCs w:val="22"/>
              <w:lang w:val="en-GB"/>
            </w:rPr>
          </w:pPr>
          <w:r>
            <w:rPr>
              <w:rFonts w:asciiTheme="minorHAnsi" w:hAnsiTheme="minorHAnsi" w:cstheme="minorHAnsi"/>
              <w:b/>
              <w:sz w:val="22"/>
              <w:szCs w:val="22"/>
              <w:lang w:val="en-GB"/>
            </w:rPr>
            <w:t>S</w:t>
          </w:r>
          <w:r w:rsidR="00085463">
            <w:rPr>
              <w:rFonts w:asciiTheme="minorHAnsi" w:hAnsiTheme="minorHAnsi" w:cstheme="minorHAnsi"/>
              <w:b/>
              <w:sz w:val="22"/>
              <w:szCs w:val="22"/>
              <w:lang w:val="en-GB"/>
            </w:rPr>
            <w:t>pec.</w:t>
          </w:r>
          <w:r>
            <w:rPr>
              <w:rFonts w:asciiTheme="minorHAnsi" w:hAnsiTheme="minorHAnsi" w:cstheme="minorHAnsi"/>
              <w:b/>
              <w:sz w:val="22"/>
              <w:szCs w:val="22"/>
              <w:lang w:val="en-GB"/>
            </w:rPr>
            <w:t xml:space="preserve"> N</w:t>
          </w:r>
          <w:r w:rsidR="00085463">
            <w:rPr>
              <w:rFonts w:asciiTheme="minorHAnsi" w:hAnsiTheme="minorHAnsi" w:cstheme="minorHAnsi"/>
              <w:b/>
              <w:sz w:val="22"/>
              <w:szCs w:val="22"/>
              <w:lang w:val="en-GB"/>
            </w:rPr>
            <w:t>o</w:t>
          </w:r>
          <w:r>
            <w:rPr>
              <w:rFonts w:asciiTheme="minorHAnsi" w:hAnsiTheme="minorHAnsi" w:cstheme="minorHAnsi"/>
              <w:b/>
              <w:sz w:val="22"/>
              <w:szCs w:val="22"/>
              <w:lang w:val="en-GB"/>
            </w:rPr>
            <w:t>s</w:t>
          </w:r>
          <w:r w:rsidR="003217DC" w:rsidRPr="003217DC">
            <w:rPr>
              <w:rFonts w:asciiTheme="minorHAnsi" w:hAnsiTheme="minorHAnsi" w:cstheme="minorHAnsi"/>
              <w:b/>
              <w:sz w:val="22"/>
              <w:szCs w:val="22"/>
              <w:lang w:val="en-GB"/>
            </w:rPr>
            <w:t>.: CC-CS/1047-ER2/CD-4187/3/G7 (OH01A); CC-CS/1047-ER2/CD</w:t>
          </w:r>
          <w:r w:rsidR="002C5765">
            <w:rPr>
              <w:rFonts w:asciiTheme="minorHAnsi" w:hAnsiTheme="minorHAnsi" w:cstheme="minorHAnsi"/>
              <w:b/>
              <w:sz w:val="22"/>
              <w:szCs w:val="22"/>
              <w:lang w:val="en-GB"/>
            </w:rPr>
            <w:t>-</w:t>
          </w:r>
          <w:r w:rsidR="003217DC" w:rsidRPr="003217DC">
            <w:rPr>
              <w:rFonts w:asciiTheme="minorHAnsi" w:hAnsiTheme="minorHAnsi" w:cstheme="minorHAnsi"/>
              <w:b/>
              <w:sz w:val="22"/>
              <w:szCs w:val="22"/>
              <w:lang w:val="en-GB"/>
            </w:rPr>
            <w:t xml:space="preserve">4188/3/G7 (OH01B) </w:t>
          </w:r>
        </w:p>
      </w:tc>
    </w:tr>
  </w:tbl>
  <w:p w:rsidR="007D37B5" w:rsidRPr="00B160BC" w:rsidRDefault="007D37B5" w:rsidP="006D70CB">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6AE"/>
    <w:multiLevelType w:val="hybridMultilevel"/>
    <w:tmpl w:val="828C9DB6"/>
    <w:lvl w:ilvl="0" w:tplc="DBA2895E">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 w15:restartNumberingAfterBreak="0">
    <w:nsid w:val="07836CC5"/>
    <w:multiLevelType w:val="hybridMultilevel"/>
    <w:tmpl w:val="3E2EF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040A1B"/>
    <w:multiLevelType w:val="hybridMultilevel"/>
    <w:tmpl w:val="9F4CD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F4C49"/>
    <w:multiLevelType w:val="hybridMultilevel"/>
    <w:tmpl w:val="643A7DDC"/>
    <w:lvl w:ilvl="0" w:tplc="5244842E">
      <w:start w:val="1"/>
      <w:numFmt w:val="lowerLetter"/>
      <w:lvlText w:val="(%1)"/>
      <w:lvlJc w:val="left"/>
      <w:pPr>
        <w:ind w:left="720" w:hanging="360"/>
      </w:pPr>
      <w:rPr>
        <w:rFonts w:asciiTheme="minorHAnsi" w:hAnsi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D50228"/>
    <w:multiLevelType w:val="hybridMultilevel"/>
    <w:tmpl w:val="C3AE7D8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55D3478"/>
    <w:multiLevelType w:val="hybridMultilevel"/>
    <w:tmpl w:val="75E89FDA"/>
    <w:lvl w:ilvl="0" w:tplc="606682E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3C202D"/>
    <w:multiLevelType w:val="hybridMultilevel"/>
    <w:tmpl w:val="A4A6FF90"/>
    <w:lvl w:ilvl="0" w:tplc="0700CE6C">
      <w:start w:val="1"/>
      <w:numFmt w:val="lowerRoman"/>
      <w:lvlText w:val="%1."/>
      <w:lvlJc w:val="left"/>
      <w:pPr>
        <w:tabs>
          <w:tab w:val="num" w:pos="2700"/>
        </w:tabs>
        <w:ind w:left="270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700CE6C">
      <w:start w:val="1"/>
      <w:numFmt w:val="lowerRoman"/>
      <w:lvlText w:val="%3."/>
      <w:lvlJc w:val="left"/>
      <w:pPr>
        <w:tabs>
          <w:tab w:val="num" w:pos="2700"/>
        </w:tabs>
        <w:ind w:left="2700" w:hanging="72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3C6E46"/>
    <w:multiLevelType w:val="hybridMultilevel"/>
    <w:tmpl w:val="8DF46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612B8"/>
    <w:multiLevelType w:val="hybridMultilevel"/>
    <w:tmpl w:val="CE10F03C"/>
    <w:lvl w:ilvl="0" w:tplc="2BD85AC0">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BE0E70"/>
    <w:multiLevelType w:val="multilevel"/>
    <w:tmpl w:val="10F62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0E7865"/>
    <w:multiLevelType w:val="hybridMultilevel"/>
    <w:tmpl w:val="C2A60F1A"/>
    <w:lvl w:ilvl="0" w:tplc="FC3AF2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CD7BA8"/>
    <w:multiLevelType w:val="hybridMultilevel"/>
    <w:tmpl w:val="FE0806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040B9E"/>
    <w:multiLevelType w:val="hybridMultilevel"/>
    <w:tmpl w:val="C242FFBC"/>
    <w:lvl w:ilvl="0" w:tplc="1EB425E6">
      <w:start w:val="1"/>
      <w:numFmt w:val="decimal"/>
      <w:lvlText w:val="%1."/>
      <w:lvlJc w:val="left"/>
      <w:pPr>
        <w:tabs>
          <w:tab w:val="num" w:pos="1200"/>
        </w:tabs>
        <w:ind w:left="1200" w:hanging="360"/>
      </w:pPr>
      <w:rPr>
        <w:rFonts w:hint="default"/>
      </w:rPr>
    </w:lvl>
    <w:lvl w:ilvl="1" w:tplc="36A6086E">
      <w:start w:val="1"/>
      <w:numFmt w:val="decimal"/>
      <w:lvlText w:val="%25"/>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0012CF"/>
    <w:multiLevelType w:val="hybridMultilevel"/>
    <w:tmpl w:val="F17A7D6C"/>
    <w:lvl w:ilvl="0" w:tplc="236644B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F6B2716"/>
    <w:multiLevelType w:val="hybridMultilevel"/>
    <w:tmpl w:val="730C0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A1A31"/>
    <w:multiLevelType w:val="multilevel"/>
    <w:tmpl w:val="10F62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D672F2"/>
    <w:multiLevelType w:val="hybridMultilevel"/>
    <w:tmpl w:val="01B0217E"/>
    <w:lvl w:ilvl="0" w:tplc="0700CE6C">
      <w:start w:val="1"/>
      <w:numFmt w:val="low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2944"/>
        </w:tabs>
        <w:ind w:left="2944" w:hanging="360"/>
      </w:pPr>
    </w:lvl>
    <w:lvl w:ilvl="2" w:tplc="0409001B" w:tentative="1">
      <w:start w:val="1"/>
      <w:numFmt w:val="lowerRoman"/>
      <w:lvlText w:val="%3."/>
      <w:lvlJc w:val="right"/>
      <w:pPr>
        <w:tabs>
          <w:tab w:val="num" w:pos="3664"/>
        </w:tabs>
        <w:ind w:left="3664" w:hanging="180"/>
      </w:pPr>
    </w:lvl>
    <w:lvl w:ilvl="3" w:tplc="0409000F" w:tentative="1">
      <w:start w:val="1"/>
      <w:numFmt w:val="decimal"/>
      <w:lvlText w:val="%4."/>
      <w:lvlJc w:val="left"/>
      <w:pPr>
        <w:tabs>
          <w:tab w:val="num" w:pos="4384"/>
        </w:tabs>
        <w:ind w:left="4384" w:hanging="360"/>
      </w:pPr>
    </w:lvl>
    <w:lvl w:ilvl="4" w:tplc="04090019" w:tentative="1">
      <w:start w:val="1"/>
      <w:numFmt w:val="lowerLetter"/>
      <w:lvlText w:val="%5."/>
      <w:lvlJc w:val="left"/>
      <w:pPr>
        <w:tabs>
          <w:tab w:val="num" w:pos="5104"/>
        </w:tabs>
        <w:ind w:left="5104" w:hanging="360"/>
      </w:pPr>
    </w:lvl>
    <w:lvl w:ilvl="5" w:tplc="0409001B" w:tentative="1">
      <w:start w:val="1"/>
      <w:numFmt w:val="lowerRoman"/>
      <w:lvlText w:val="%6."/>
      <w:lvlJc w:val="right"/>
      <w:pPr>
        <w:tabs>
          <w:tab w:val="num" w:pos="5824"/>
        </w:tabs>
        <w:ind w:left="5824" w:hanging="180"/>
      </w:pPr>
    </w:lvl>
    <w:lvl w:ilvl="6" w:tplc="0409000F" w:tentative="1">
      <w:start w:val="1"/>
      <w:numFmt w:val="decimal"/>
      <w:lvlText w:val="%7."/>
      <w:lvlJc w:val="left"/>
      <w:pPr>
        <w:tabs>
          <w:tab w:val="num" w:pos="6544"/>
        </w:tabs>
        <w:ind w:left="6544" w:hanging="360"/>
      </w:pPr>
    </w:lvl>
    <w:lvl w:ilvl="7" w:tplc="04090019" w:tentative="1">
      <w:start w:val="1"/>
      <w:numFmt w:val="lowerLetter"/>
      <w:lvlText w:val="%8."/>
      <w:lvlJc w:val="left"/>
      <w:pPr>
        <w:tabs>
          <w:tab w:val="num" w:pos="7264"/>
        </w:tabs>
        <w:ind w:left="7264" w:hanging="360"/>
      </w:pPr>
    </w:lvl>
    <w:lvl w:ilvl="8" w:tplc="0409001B" w:tentative="1">
      <w:start w:val="1"/>
      <w:numFmt w:val="lowerRoman"/>
      <w:lvlText w:val="%9."/>
      <w:lvlJc w:val="right"/>
      <w:pPr>
        <w:tabs>
          <w:tab w:val="num" w:pos="7984"/>
        </w:tabs>
        <w:ind w:left="7984" w:hanging="180"/>
      </w:pPr>
    </w:lvl>
  </w:abstractNum>
  <w:abstractNum w:abstractNumId="17" w15:restartNumberingAfterBreak="0">
    <w:nsid w:val="48800EDA"/>
    <w:multiLevelType w:val="hybridMultilevel"/>
    <w:tmpl w:val="2E3C2D38"/>
    <w:lvl w:ilvl="0" w:tplc="0700CE6C">
      <w:start w:val="1"/>
      <w:numFmt w:val="lowerRoman"/>
      <w:lvlText w:val="%1."/>
      <w:lvlJc w:val="left"/>
      <w:pPr>
        <w:tabs>
          <w:tab w:val="num" w:pos="2021"/>
        </w:tabs>
        <w:ind w:left="2021" w:hanging="720"/>
      </w:pPr>
      <w:rPr>
        <w:rFonts w:hint="default"/>
      </w:rPr>
    </w:lvl>
    <w:lvl w:ilvl="1" w:tplc="35845278">
      <w:start w:val="1"/>
      <w:numFmt w:val="lowerRoman"/>
      <w:lvlText w:val="%2."/>
      <w:lvlJc w:val="left"/>
      <w:pPr>
        <w:tabs>
          <w:tab w:val="num" w:pos="2625"/>
        </w:tabs>
        <w:ind w:left="2625" w:hanging="720"/>
      </w:pPr>
      <w:rPr>
        <w:rFonts w:hint="default"/>
      </w:rPr>
    </w:lvl>
    <w:lvl w:ilvl="2" w:tplc="2DBAA08A">
      <w:start w:val="3"/>
      <w:numFmt w:val="decimal"/>
      <w:lvlText w:val="%3."/>
      <w:lvlJc w:val="left"/>
      <w:pPr>
        <w:tabs>
          <w:tab w:val="num" w:pos="480"/>
        </w:tabs>
        <w:ind w:left="480" w:hanging="480"/>
      </w:pPr>
      <w:rPr>
        <w:rFonts w:hint="default"/>
      </w:r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8" w15:restartNumberingAfterBreak="0">
    <w:nsid w:val="4AA14782"/>
    <w:multiLevelType w:val="singleLevel"/>
    <w:tmpl w:val="F4E8F590"/>
    <w:lvl w:ilvl="0">
      <w:start w:val="1"/>
      <w:numFmt w:val="decimal"/>
      <w:lvlText w:val="%1."/>
      <w:legacy w:legacy="1" w:legacySpace="0" w:legacyIndent="720"/>
      <w:lvlJc w:val="right"/>
      <w:rPr>
        <w:rFonts w:ascii="Arial" w:hAnsi="Arial" w:cs="Arial" w:hint="default"/>
      </w:rPr>
    </w:lvl>
  </w:abstractNum>
  <w:abstractNum w:abstractNumId="19" w15:restartNumberingAfterBreak="0">
    <w:nsid w:val="4DE479C9"/>
    <w:multiLevelType w:val="hybridMultilevel"/>
    <w:tmpl w:val="CE145A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457FA9"/>
    <w:multiLevelType w:val="hybridMultilevel"/>
    <w:tmpl w:val="AECC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502B7"/>
    <w:multiLevelType w:val="hybridMultilevel"/>
    <w:tmpl w:val="C16CEB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E2007A"/>
    <w:multiLevelType w:val="hybridMultilevel"/>
    <w:tmpl w:val="EA4C1B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912D2"/>
    <w:multiLevelType w:val="hybridMultilevel"/>
    <w:tmpl w:val="EDCEA58E"/>
    <w:lvl w:ilvl="0" w:tplc="14B0F10C">
      <w:start w:val="2"/>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D24307"/>
    <w:multiLevelType w:val="hybridMultilevel"/>
    <w:tmpl w:val="6B18E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336B32"/>
    <w:multiLevelType w:val="hybridMultilevel"/>
    <w:tmpl w:val="3CE21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CD7224"/>
    <w:multiLevelType w:val="hybridMultilevel"/>
    <w:tmpl w:val="9CFA9C82"/>
    <w:lvl w:ilvl="0" w:tplc="27B6C352">
      <w:start w:val="15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8E29C0"/>
    <w:multiLevelType w:val="multilevel"/>
    <w:tmpl w:val="10F62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BFA444B"/>
    <w:multiLevelType w:val="hybridMultilevel"/>
    <w:tmpl w:val="D4AC81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DA6400"/>
    <w:multiLevelType w:val="hybridMultilevel"/>
    <w:tmpl w:val="30AC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D395A"/>
    <w:multiLevelType w:val="hybridMultilevel"/>
    <w:tmpl w:val="F8CEB31E"/>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31" w15:restartNumberingAfterBreak="0">
    <w:nsid w:val="5FBA1D88"/>
    <w:multiLevelType w:val="hybridMultilevel"/>
    <w:tmpl w:val="652478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CF0DDC"/>
    <w:multiLevelType w:val="multilevel"/>
    <w:tmpl w:val="10F62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59A0D2E"/>
    <w:multiLevelType w:val="hybridMultilevel"/>
    <w:tmpl w:val="B12A48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1A7FDC"/>
    <w:multiLevelType w:val="hybridMultilevel"/>
    <w:tmpl w:val="102A9E1A"/>
    <w:lvl w:ilvl="0" w:tplc="5B44C292">
      <w:start w:val="1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6B7715A6"/>
    <w:multiLevelType w:val="hybridMultilevel"/>
    <w:tmpl w:val="7FB6E8F8"/>
    <w:lvl w:ilvl="0" w:tplc="5DD8883A">
      <w:start w:val="1"/>
      <w:numFmt w:val="bullet"/>
      <w:lvlText w:val="-"/>
      <w:lvlJc w:val="left"/>
      <w:pPr>
        <w:tabs>
          <w:tab w:val="num" w:pos="720"/>
        </w:tabs>
        <w:ind w:left="720" w:hanging="360"/>
      </w:pPr>
      <w:rPr>
        <w:rFonts w:ascii="Helv" w:eastAsia="Times New Roman" w:hAnsi="Helv"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923DC"/>
    <w:multiLevelType w:val="hybridMultilevel"/>
    <w:tmpl w:val="BE986B18"/>
    <w:lvl w:ilvl="0" w:tplc="04090001">
      <w:start w:val="1"/>
      <w:numFmt w:val="bullet"/>
      <w:lvlText w:val=""/>
      <w:lvlJc w:val="left"/>
      <w:pPr>
        <w:tabs>
          <w:tab w:val="num" w:pos="2148"/>
        </w:tabs>
        <w:ind w:left="2148" w:hanging="360"/>
      </w:pPr>
      <w:rPr>
        <w:rFonts w:ascii="Symbol" w:hAnsi="Symbol" w:hint="default"/>
      </w:rPr>
    </w:lvl>
    <w:lvl w:ilvl="1" w:tplc="04090003" w:tentative="1">
      <w:start w:val="1"/>
      <w:numFmt w:val="bullet"/>
      <w:lvlText w:val="o"/>
      <w:lvlJc w:val="left"/>
      <w:pPr>
        <w:tabs>
          <w:tab w:val="num" w:pos="2868"/>
        </w:tabs>
        <w:ind w:left="2868" w:hanging="360"/>
      </w:pPr>
      <w:rPr>
        <w:rFonts w:ascii="Courier New" w:hAnsi="Courier New" w:cs="Courier New" w:hint="default"/>
      </w:rPr>
    </w:lvl>
    <w:lvl w:ilvl="2" w:tplc="04090005" w:tentative="1">
      <w:start w:val="1"/>
      <w:numFmt w:val="bullet"/>
      <w:lvlText w:val=""/>
      <w:lvlJc w:val="left"/>
      <w:pPr>
        <w:tabs>
          <w:tab w:val="num" w:pos="3588"/>
        </w:tabs>
        <w:ind w:left="3588" w:hanging="360"/>
      </w:pPr>
      <w:rPr>
        <w:rFonts w:ascii="Wingdings" w:hAnsi="Wingdings" w:hint="default"/>
      </w:rPr>
    </w:lvl>
    <w:lvl w:ilvl="3" w:tplc="04090001" w:tentative="1">
      <w:start w:val="1"/>
      <w:numFmt w:val="bullet"/>
      <w:lvlText w:val=""/>
      <w:lvlJc w:val="left"/>
      <w:pPr>
        <w:tabs>
          <w:tab w:val="num" w:pos="4308"/>
        </w:tabs>
        <w:ind w:left="4308" w:hanging="360"/>
      </w:pPr>
      <w:rPr>
        <w:rFonts w:ascii="Symbol" w:hAnsi="Symbol" w:hint="default"/>
      </w:rPr>
    </w:lvl>
    <w:lvl w:ilvl="4" w:tplc="04090003" w:tentative="1">
      <w:start w:val="1"/>
      <w:numFmt w:val="bullet"/>
      <w:lvlText w:val="o"/>
      <w:lvlJc w:val="left"/>
      <w:pPr>
        <w:tabs>
          <w:tab w:val="num" w:pos="5028"/>
        </w:tabs>
        <w:ind w:left="5028" w:hanging="360"/>
      </w:pPr>
      <w:rPr>
        <w:rFonts w:ascii="Courier New" w:hAnsi="Courier New" w:cs="Courier New" w:hint="default"/>
      </w:rPr>
    </w:lvl>
    <w:lvl w:ilvl="5" w:tplc="04090005" w:tentative="1">
      <w:start w:val="1"/>
      <w:numFmt w:val="bullet"/>
      <w:lvlText w:val=""/>
      <w:lvlJc w:val="left"/>
      <w:pPr>
        <w:tabs>
          <w:tab w:val="num" w:pos="5748"/>
        </w:tabs>
        <w:ind w:left="5748" w:hanging="360"/>
      </w:pPr>
      <w:rPr>
        <w:rFonts w:ascii="Wingdings" w:hAnsi="Wingdings" w:hint="default"/>
      </w:rPr>
    </w:lvl>
    <w:lvl w:ilvl="6" w:tplc="04090001" w:tentative="1">
      <w:start w:val="1"/>
      <w:numFmt w:val="bullet"/>
      <w:lvlText w:val=""/>
      <w:lvlJc w:val="left"/>
      <w:pPr>
        <w:tabs>
          <w:tab w:val="num" w:pos="6468"/>
        </w:tabs>
        <w:ind w:left="6468" w:hanging="360"/>
      </w:pPr>
      <w:rPr>
        <w:rFonts w:ascii="Symbol" w:hAnsi="Symbol" w:hint="default"/>
      </w:rPr>
    </w:lvl>
    <w:lvl w:ilvl="7" w:tplc="04090003" w:tentative="1">
      <w:start w:val="1"/>
      <w:numFmt w:val="bullet"/>
      <w:lvlText w:val="o"/>
      <w:lvlJc w:val="left"/>
      <w:pPr>
        <w:tabs>
          <w:tab w:val="num" w:pos="7188"/>
        </w:tabs>
        <w:ind w:left="7188" w:hanging="360"/>
      </w:pPr>
      <w:rPr>
        <w:rFonts w:ascii="Courier New" w:hAnsi="Courier New" w:cs="Courier New" w:hint="default"/>
      </w:rPr>
    </w:lvl>
    <w:lvl w:ilvl="8" w:tplc="04090005" w:tentative="1">
      <w:start w:val="1"/>
      <w:numFmt w:val="bullet"/>
      <w:lvlText w:val=""/>
      <w:lvlJc w:val="left"/>
      <w:pPr>
        <w:tabs>
          <w:tab w:val="num" w:pos="7908"/>
        </w:tabs>
        <w:ind w:left="7908" w:hanging="360"/>
      </w:pPr>
      <w:rPr>
        <w:rFonts w:ascii="Wingdings" w:hAnsi="Wingdings" w:hint="default"/>
      </w:rPr>
    </w:lvl>
  </w:abstractNum>
  <w:abstractNum w:abstractNumId="37" w15:restartNumberingAfterBreak="0">
    <w:nsid w:val="78785D48"/>
    <w:multiLevelType w:val="hybridMultilevel"/>
    <w:tmpl w:val="A9F8FF32"/>
    <w:lvl w:ilvl="0" w:tplc="52D883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273080"/>
    <w:multiLevelType w:val="hybridMultilevel"/>
    <w:tmpl w:val="3D705DE4"/>
    <w:lvl w:ilvl="0" w:tplc="1EB425E6">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9" w15:restartNumberingAfterBreak="0">
    <w:nsid w:val="7D2A00D3"/>
    <w:multiLevelType w:val="hybridMultilevel"/>
    <w:tmpl w:val="1C88CDCE"/>
    <w:lvl w:ilvl="0" w:tplc="ED2E93F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DEA4B28"/>
    <w:multiLevelType w:val="hybridMultilevel"/>
    <w:tmpl w:val="971A3522"/>
    <w:lvl w:ilvl="0" w:tplc="716260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F7B76E6"/>
    <w:multiLevelType w:val="hybridMultilevel"/>
    <w:tmpl w:val="72BC0FF2"/>
    <w:lvl w:ilvl="0" w:tplc="054CB36A">
      <w:start w:val="1"/>
      <w:numFmt w:val="decimal"/>
      <w:lvlText w:val="%1."/>
      <w:lvlJc w:val="left"/>
      <w:pPr>
        <w:tabs>
          <w:tab w:val="num" w:pos="690"/>
        </w:tabs>
        <w:ind w:left="690" w:hanging="39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2" w15:restartNumberingAfterBreak="0">
    <w:nsid w:val="7FC56CCE"/>
    <w:multiLevelType w:val="hybridMultilevel"/>
    <w:tmpl w:val="BB9CFC82"/>
    <w:lvl w:ilvl="0" w:tplc="606682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3"/>
  </w:num>
  <w:num w:numId="2">
    <w:abstractNumId w:val="31"/>
  </w:num>
  <w:num w:numId="3">
    <w:abstractNumId w:val="0"/>
  </w:num>
  <w:num w:numId="4">
    <w:abstractNumId w:val="41"/>
  </w:num>
  <w:num w:numId="5">
    <w:abstractNumId w:val="25"/>
  </w:num>
  <w:num w:numId="6">
    <w:abstractNumId w:val="11"/>
  </w:num>
  <w:num w:numId="7">
    <w:abstractNumId w:val="7"/>
  </w:num>
  <w:num w:numId="8">
    <w:abstractNumId w:val="24"/>
  </w:num>
  <w:num w:numId="9">
    <w:abstractNumId w:val="35"/>
  </w:num>
  <w:num w:numId="10">
    <w:abstractNumId w:val="22"/>
  </w:num>
  <w:num w:numId="11">
    <w:abstractNumId w:val="33"/>
  </w:num>
  <w:num w:numId="12">
    <w:abstractNumId w:val="26"/>
  </w:num>
  <w:num w:numId="13">
    <w:abstractNumId w:val="40"/>
  </w:num>
  <w:num w:numId="14">
    <w:abstractNumId w:val="39"/>
  </w:num>
  <w:num w:numId="15">
    <w:abstractNumId w:val="6"/>
  </w:num>
  <w:num w:numId="16">
    <w:abstractNumId w:val="17"/>
  </w:num>
  <w:num w:numId="17">
    <w:abstractNumId w:val="36"/>
  </w:num>
  <w:num w:numId="18">
    <w:abstractNumId w:val="16"/>
  </w:num>
  <w:num w:numId="19">
    <w:abstractNumId w:val="4"/>
  </w:num>
  <w:num w:numId="20">
    <w:abstractNumId w:val="14"/>
  </w:num>
  <w:num w:numId="21">
    <w:abstractNumId w:val="28"/>
  </w:num>
  <w:num w:numId="22">
    <w:abstractNumId w:val="19"/>
  </w:num>
  <w:num w:numId="23">
    <w:abstractNumId w:val="1"/>
  </w:num>
  <w:num w:numId="24">
    <w:abstractNumId w:val="21"/>
  </w:num>
  <w:num w:numId="25">
    <w:abstractNumId w:val="8"/>
  </w:num>
  <w:num w:numId="26">
    <w:abstractNumId w:val="37"/>
  </w:num>
  <w:num w:numId="27">
    <w:abstractNumId w:val="18"/>
  </w:num>
  <w:num w:numId="28">
    <w:abstractNumId w:val="38"/>
  </w:num>
  <w:num w:numId="29">
    <w:abstractNumId w:val="12"/>
  </w:num>
  <w:num w:numId="30">
    <w:abstractNumId w:val="34"/>
  </w:num>
  <w:num w:numId="31">
    <w:abstractNumId w:val="5"/>
  </w:num>
  <w:num w:numId="32">
    <w:abstractNumId w:val="42"/>
  </w:num>
  <w:num w:numId="33">
    <w:abstractNumId w:val="10"/>
  </w:num>
  <w:num w:numId="34">
    <w:abstractNumId w:val="20"/>
  </w:num>
  <w:num w:numId="35">
    <w:abstractNumId w:val="27"/>
  </w:num>
  <w:num w:numId="36">
    <w:abstractNumId w:val="15"/>
  </w:num>
  <w:num w:numId="37">
    <w:abstractNumId w:val="9"/>
  </w:num>
  <w:num w:numId="38">
    <w:abstractNumId w:val="32"/>
  </w:num>
  <w:num w:numId="39">
    <w:abstractNumId w:val="2"/>
  </w:num>
  <w:num w:numId="40">
    <w:abstractNumId w:val="30"/>
  </w:num>
  <w:num w:numId="41">
    <w:abstractNumId w:val="29"/>
  </w:num>
  <w:num w:numId="42">
    <w:abstractNumId w:val="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C3"/>
    <w:rsid w:val="000012A6"/>
    <w:rsid w:val="0000166F"/>
    <w:rsid w:val="00014CD8"/>
    <w:rsid w:val="00015DBB"/>
    <w:rsid w:val="00021BE2"/>
    <w:rsid w:val="000237B9"/>
    <w:rsid w:val="00041947"/>
    <w:rsid w:val="000612C3"/>
    <w:rsid w:val="00064FCF"/>
    <w:rsid w:val="0006731B"/>
    <w:rsid w:val="000704AD"/>
    <w:rsid w:val="00070D1F"/>
    <w:rsid w:val="00073CDB"/>
    <w:rsid w:val="00074E83"/>
    <w:rsid w:val="0007667A"/>
    <w:rsid w:val="000826C9"/>
    <w:rsid w:val="00083C9A"/>
    <w:rsid w:val="00085463"/>
    <w:rsid w:val="00086EE7"/>
    <w:rsid w:val="000A5175"/>
    <w:rsid w:val="000B3FB4"/>
    <w:rsid w:val="000B5E16"/>
    <w:rsid w:val="000D42FC"/>
    <w:rsid w:val="000D58CC"/>
    <w:rsid w:val="000F0F68"/>
    <w:rsid w:val="000F290C"/>
    <w:rsid w:val="000F73ED"/>
    <w:rsid w:val="000F7DBB"/>
    <w:rsid w:val="001027EA"/>
    <w:rsid w:val="0010335F"/>
    <w:rsid w:val="00115831"/>
    <w:rsid w:val="00126EA4"/>
    <w:rsid w:val="00137098"/>
    <w:rsid w:val="00141EB6"/>
    <w:rsid w:val="00152B52"/>
    <w:rsid w:val="00152BAF"/>
    <w:rsid w:val="001558B7"/>
    <w:rsid w:val="001765C0"/>
    <w:rsid w:val="001811BC"/>
    <w:rsid w:val="001815F6"/>
    <w:rsid w:val="00182E9E"/>
    <w:rsid w:val="001842D5"/>
    <w:rsid w:val="00194693"/>
    <w:rsid w:val="00195D8B"/>
    <w:rsid w:val="0019637B"/>
    <w:rsid w:val="00196595"/>
    <w:rsid w:val="001A13F0"/>
    <w:rsid w:val="001A2FB2"/>
    <w:rsid w:val="001A5B21"/>
    <w:rsid w:val="001A7A73"/>
    <w:rsid w:val="001B5D9B"/>
    <w:rsid w:val="001B6477"/>
    <w:rsid w:val="001C3D91"/>
    <w:rsid w:val="001C7301"/>
    <w:rsid w:val="001D046D"/>
    <w:rsid w:val="001D4621"/>
    <w:rsid w:val="001D7392"/>
    <w:rsid w:val="001E3A76"/>
    <w:rsid w:val="001E7507"/>
    <w:rsid w:val="00206C86"/>
    <w:rsid w:val="002121D4"/>
    <w:rsid w:val="002125A6"/>
    <w:rsid w:val="00216FD0"/>
    <w:rsid w:val="00217196"/>
    <w:rsid w:val="00221D8C"/>
    <w:rsid w:val="00221DE3"/>
    <w:rsid w:val="00223593"/>
    <w:rsid w:val="00227E62"/>
    <w:rsid w:val="00242FEA"/>
    <w:rsid w:val="002460BE"/>
    <w:rsid w:val="0025058C"/>
    <w:rsid w:val="002522D0"/>
    <w:rsid w:val="0025388F"/>
    <w:rsid w:val="00253F52"/>
    <w:rsid w:val="00255A74"/>
    <w:rsid w:val="00256D90"/>
    <w:rsid w:val="00281658"/>
    <w:rsid w:val="00282E03"/>
    <w:rsid w:val="00283D07"/>
    <w:rsid w:val="00287889"/>
    <w:rsid w:val="00287B1F"/>
    <w:rsid w:val="00287B4F"/>
    <w:rsid w:val="00290AD1"/>
    <w:rsid w:val="002929D0"/>
    <w:rsid w:val="0029774D"/>
    <w:rsid w:val="002A5DAB"/>
    <w:rsid w:val="002B24BD"/>
    <w:rsid w:val="002B2864"/>
    <w:rsid w:val="002B3356"/>
    <w:rsid w:val="002C2DE8"/>
    <w:rsid w:val="002C3C28"/>
    <w:rsid w:val="002C5765"/>
    <w:rsid w:val="002C7A8D"/>
    <w:rsid w:val="002D7285"/>
    <w:rsid w:val="002E62F9"/>
    <w:rsid w:val="002F44E6"/>
    <w:rsid w:val="00310CED"/>
    <w:rsid w:val="00316724"/>
    <w:rsid w:val="00317A0E"/>
    <w:rsid w:val="003213BD"/>
    <w:rsid w:val="003217CC"/>
    <w:rsid w:val="003217DC"/>
    <w:rsid w:val="00322CF4"/>
    <w:rsid w:val="00326C7A"/>
    <w:rsid w:val="003349DB"/>
    <w:rsid w:val="0034370C"/>
    <w:rsid w:val="00345C6A"/>
    <w:rsid w:val="00346339"/>
    <w:rsid w:val="00347E71"/>
    <w:rsid w:val="0035182E"/>
    <w:rsid w:val="00360A76"/>
    <w:rsid w:val="00360E2F"/>
    <w:rsid w:val="00362305"/>
    <w:rsid w:val="00363C7C"/>
    <w:rsid w:val="00373AE7"/>
    <w:rsid w:val="00374A56"/>
    <w:rsid w:val="00374D09"/>
    <w:rsid w:val="003756C7"/>
    <w:rsid w:val="00380E7E"/>
    <w:rsid w:val="003832AE"/>
    <w:rsid w:val="0038755E"/>
    <w:rsid w:val="00390751"/>
    <w:rsid w:val="00393F24"/>
    <w:rsid w:val="003962F5"/>
    <w:rsid w:val="0039717A"/>
    <w:rsid w:val="003A02F7"/>
    <w:rsid w:val="003A0449"/>
    <w:rsid w:val="003A4409"/>
    <w:rsid w:val="003C1724"/>
    <w:rsid w:val="003C1B60"/>
    <w:rsid w:val="003C2DE3"/>
    <w:rsid w:val="003C4039"/>
    <w:rsid w:val="003C43F0"/>
    <w:rsid w:val="003C452B"/>
    <w:rsid w:val="003C7962"/>
    <w:rsid w:val="003D40BF"/>
    <w:rsid w:val="003D630D"/>
    <w:rsid w:val="003E1327"/>
    <w:rsid w:val="003E3339"/>
    <w:rsid w:val="003E450D"/>
    <w:rsid w:val="003E47AD"/>
    <w:rsid w:val="003E4B84"/>
    <w:rsid w:val="003E5109"/>
    <w:rsid w:val="003E5CEC"/>
    <w:rsid w:val="003F0C5C"/>
    <w:rsid w:val="003F27E4"/>
    <w:rsid w:val="003F3708"/>
    <w:rsid w:val="003F4989"/>
    <w:rsid w:val="00402EF8"/>
    <w:rsid w:val="00410A01"/>
    <w:rsid w:val="00413D0E"/>
    <w:rsid w:val="00416417"/>
    <w:rsid w:val="004165D0"/>
    <w:rsid w:val="00420F31"/>
    <w:rsid w:val="00431CE5"/>
    <w:rsid w:val="00431D28"/>
    <w:rsid w:val="00431EB4"/>
    <w:rsid w:val="00432023"/>
    <w:rsid w:val="004341D7"/>
    <w:rsid w:val="004341F0"/>
    <w:rsid w:val="004420F7"/>
    <w:rsid w:val="00442E9C"/>
    <w:rsid w:val="004432AD"/>
    <w:rsid w:val="00445307"/>
    <w:rsid w:val="00451923"/>
    <w:rsid w:val="00466112"/>
    <w:rsid w:val="00473E39"/>
    <w:rsid w:val="00475D58"/>
    <w:rsid w:val="004760F6"/>
    <w:rsid w:val="0047791F"/>
    <w:rsid w:val="004808B1"/>
    <w:rsid w:val="00483A22"/>
    <w:rsid w:val="00486A62"/>
    <w:rsid w:val="0049058B"/>
    <w:rsid w:val="00490D24"/>
    <w:rsid w:val="004910F0"/>
    <w:rsid w:val="0049501A"/>
    <w:rsid w:val="004A33C2"/>
    <w:rsid w:val="004A4987"/>
    <w:rsid w:val="004B19A2"/>
    <w:rsid w:val="004B4D48"/>
    <w:rsid w:val="004B548E"/>
    <w:rsid w:val="004C1079"/>
    <w:rsid w:val="004C6051"/>
    <w:rsid w:val="004D1B48"/>
    <w:rsid w:val="004D31B3"/>
    <w:rsid w:val="004E067E"/>
    <w:rsid w:val="004E2325"/>
    <w:rsid w:val="004F5E25"/>
    <w:rsid w:val="00503FC8"/>
    <w:rsid w:val="005051D8"/>
    <w:rsid w:val="00505812"/>
    <w:rsid w:val="005107BE"/>
    <w:rsid w:val="00514676"/>
    <w:rsid w:val="00515A5D"/>
    <w:rsid w:val="00520068"/>
    <w:rsid w:val="00520DC5"/>
    <w:rsid w:val="00521C6F"/>
    <w:rsid w:val="00523A7E"/>
    <w:rsid w:val="00524BDB"/>
    <w:rsid w:val="0052528C"/>
    <w:rsid w:val="005262F6"/>
    <w:rsid w:val="005347D4"/>
    <w:rsid w:val="00565D83"/>
    <w:rsid w:val="00566B60"/>
    <w:rsid w:val="005714A3"/>
    <w:rsid w:val="00582E05"/>
    <w:rsid w:val="00584F7C"/>
    <w:rsid w:val="00587CB8"/>
    <w:rsid w:val="00594628"/>
    <w:rsid w:val="005947ED"/>
    <w:rsid w:val="00595DA9"/>
    <w:rsid w:val="00596A80"/>
    <w:rsid w:val="00597118"/>
    <w:rsid w:val="005A3BA8"/>
    <w:rsid w:val="005A6237"/>
    <w:rsid w:val="005B075A"/>
    <w:rsid w:val="005B739E"/>
    <w:rsid w:val="005C0687"/>
    <w:rsid w:val="005C2E57"/>
    <w:rsid w:val="005D2FDA"/>
    <w:rsid w:val="005D5880"/>
    <w:rsid w:val="005D72AB"/>
    <w:rsid w:val="005E10FB"/>
    <w:rsid w:val="005E1281"/>
    <w:rsid w:val="005E1FAE"/>
    <w:rsid w:val="005E292D"/>
    <w:rsid w:val="005E5AEF"/>
    <w:rsid w:val="005F10F9"/>
    <w:rsid w:val="005F2687"/>
    <w:rsid w:val="005F487E"/>
    <w:rsid w:val="0060262D"/>
    <w:rsid w:val="00605408"/>
    <w:rsid w:val="00606105"/>
    <w:rsid w:val="006067AE"/>
    <w:rsid w:val="00612394"/>
    <w:rsid w:val="006135AB"/>
    <w:rsid w:val="006175D8"/>
    <w:rsid w:val="0062351F"/>
    <w:rsid w:val="00624F12"/>
    <w:rsid w:val="006314BA"/>
    <w:rsid w:val="00631DD4"/>
    <w:rsid w:val="00632091"/>
    <w:rsid w:val="006425F5"/>
    <w:rsid w:val="006445E0"/>
    <w:rsid w:val="0064723B"/>
    <w:rsid w:val="0065174F"/>
    <w:rsid w:val="00655D37"/>
    <w:rsid w:val="006601DD"/>
    <w:rsid w:val="00663F14"/>
    <w:rsid w:val="00667132"/>
    <w:rsid w:val="00672313"/>
    <w:rsid w:val="00673AD6"/>
    <w:rsid w:val="00676BDE"/>
    <w:rsid w:val="00691F88"/>
    <w:rsid w:val="00697397"/>
    <w:rsid w:val="006A3169"/>
    <w:rsid w:val="006A5432"/>
    <w:rsid w:val="006B4399"/>
    <w:rsid w:val="006B7F05"/>
    <w:rsid w:val="006C2A3B"/>
    <w:rsid w:val="006C2F59"/>
    <w:rsid w:val="006D1453"/>
    <w:rsid w:val="006D1DF9"/>
    <w:rsid w:val="006D4440"/>
    <w:rsid w:val="006D70CB"/>
    <w:rsid w:val="006E5B9E"/>
    <w:rsid w:val="006F3A93"/>
    <w:rsid w:val="006F3EBA"/>
    <w:rsid w:val="006F5CA0"/>
    <w:rsid w:val="006F64D1"/>
    <w:rsid w:val="007056BF"/>
    <w:rsid w:val="00706E60"/>
    <w:rsid w:val="00713770"/>
    <w:rsid w:val="007200EF"/>
    <w:rsid w:val="007237B3"/>
    <w:rsid w:val="00734FF8"/>
    <w:rsid w:val="00736B7E"/>
    <w:rsid w:val="007373E9"/>
    <w:rsid w:val="00741C71"/>
    <w:rsid w:val="007441BE"/>
    <w:rsid w:val="007445EB"/>
    <w:rsid w:val="0075625E"/>
    <w:rsid w:val="007566E7"/>
    <w:rsid w:val="00760DAC"/>
    <w:rsid w:val="00771372"/>
    <w:rsid w:val="00774F24"/>
    <w:rsid w:val="00775AB1"/>
    <w:rsid w:val="007764C4"/>
    <w:rsid w:val="00783A6E"/>
    <w:rsid w:val="00785C4A"/>
    <w:rsid w:val="007925A8"/>
    <w:rsid w:val="00792BAF"/>
    <w:rsid w:val="0079420E"/>
    <w:rsid w:val="007951EE"/>
    <w:rsid w:val="0079643B"/>
    <w:rsid w:val="007A6779"/>
    <w:rsid w:val="007B2CA1"/>
    <w:rsid w:val="007B4558"/>
    <w:rsid w:val="007B6091"/>
    <w:rsid w:val="007C5A96"/>
    <w:rsid w:val="007D0299"/>
    <w:rsid w:val="007D0AF5"/>
    <w:rsid w:val="007D1604"/>
    <w:rsid w:val="007D33DD"/>
    <w:rsid w:val="007D37B5"/>
    <w:rsid w:val="007D57D9"/>
    <w:rsid w:val="007D7DD4"/>
    <w:rsid w:val="007F0214"/>
    <w:rsid w:val="007F28B4"/>
    <w:rsid w:val="00803DC9"/>
    <w:rsid w:val="00805425"/>
    <w:rsid w:val="00810AF1"/>
    <w:rsid w:val="00816E5D"/>
    <w:rsid w:val="00817064"/>
    <w:rsid w:val="00823589"/>
    <w:rsid w:val="00834FB0"/>
    <w:rsid w:val="00842DB3"/>
    <w:rsid w:val="00843D35"/>
    <w:rsid w:val="00844529"/>
    <w:rsid w:val="008470AA"/>
    <w:rsid w:val="0085609B"/>
    <w:rsid w:val="00866047"/>
    <w:rsid w:val="00871D8B"/>
    <w:rsid w:val="00872800"/>
    <w:rsid w:val="008802AE"/>
    <w:rsid w:val="00880359"/>
    <w:rsid w:val="00880AE4"/>
    <w:rsid w:val="00880F01"/>
    <w:rsid w:val="0089176B"/>
    <w:rsid w:val="008A1D99"/>
    <w:rsid w:val="008B3AFA"/>
    <w:rsid w:val="008B48A2"/>
    <w:rsid w:val="008C229E"/>
    <w:rsid w:val="008D47B5"/>
    <w:rsid w:val="008D4CC4"/>
    <w:rsid w:val="008D7350"/>
    <w:rsid w:val="008E72C2"/>
    <w:rsid w:val="008F24FD"/>
    <w:rsid w:val="008F2615"/>
    <w:rsid w:val="00905902"/>
    <w:rsid w:val="00911391"/>
    <w:rsid w:val="00912C09"/>
    <w:rsid w:val="009151B2"/>
    <w:rsid w:val="00917E8F"/>
    <w:rsid w:val="00920AEC"/>
    <w:rsid w:val="00920EEB"/>
    <w:rsid w:val="00921343"/>
    <w:rsid w:val="00923227"/>
    <w:rsid w:val="009266F2"/>
    <w:rsid w:val="00936FD2"/>
    <w:rsid w:val="00950872"/>
    <w:rsid w:val="00954A9F"/>
    <w:rsid w:val="00956B78"/>
    <w:rsid w:val="00965E95"/>
    <w:rsid w:val="009672A9"/>
    <w:rsid w:val="00971BCD"/>
    <w:rsid w:val="00972DA0"/>
    <w:rsid w:val="009753A4"/>
    <w:rsid w:val="0097721D"/>
    <w:rsid w:val="00982733"/>
    <w:rsid w:val="00996D3F"/>
    <w:rsid w:val="009A0285"/>
    <w:rsid w:val="009A0650"/>
    <w:rsid w:val="009A1CEA"/>
    <w:rsid w:val="009A20BB"/>
    <w:rsid w:val="009A3B15"/>
    <w:rsid w:val="009B415D"/>
    <w:rsid w:val="009B5381"/>
    <w:rsid w:val="009B5BB5"/>
    <w:rsid w:val="009B7D56"/>
    <w:rsid w:val="009C2256"/>
    <w:rsid w:val="009C26D9"/>
    <w:rsid w:val="009C3061"/>
    <w:rsid w:val="009D3B3C"/>
    <w:rsid w:val="009E5D3E"/>
    <w:rsid w:val="009F30AA"/>
    <w:rsid w:val="009F6EFF"/>
    <w:rsid w:val="009F72B6"/>
    <w:rsid w:val="009F7EC6"/>
    <w:rsid w:val="00A005CB"/>
    <w:rsid w:val="00A1212C"/>
    <w:rsid w:val="00A213F6"/>
    <w:rsid w:val="00A24296"/>
    <w:rsid w:val="00A27024"/>
    <w:rsid w:val="00A30DFF"/>
    <w:rsid w:val="00A33B1C"/>
    <w:rsid w:val="00A36330"/>
    <w:rsid w:val="00A365D9"/>
    <w:rsid w:val="00A371EF"/>
    <w:rsid w:val="00A43779"/>
    <w:rsid w:val="00A47613"/>
    <w:rsid w:val="00A638CC"/>
    <w:rsid w:val="00A64769"/>
    <w:rsid w:val="00A651EE"/>
    <w:rsid w:val="00A7334C"/>
    <w:rsid w:val="00A7545C"/>
    <w:rsid w:val="00A8292C"/>
    <w:rsid w:val="00A8523F"/>
    <w:rsid w:val="00A91710"/>
    <w:rsid w:val="00A91F87"/>
    <w:rsid w:val="00A92D9E"/>
    <w:rsid w:val="00A95ED5"/>
    <w:rsid w:val="00AA34E0"/>
    <w:rsid w:val="00AA7E89"/>
    <w:rsid w:val="00AB0CDE"/>
    <w:rsid w:val="00AB2EC7"/>
    <w:rsid w:val="00AC2A43"/>
    <w:rsid w:val="00AC7D28"/>
    <w:rsid w:val="00AD494E"/>
    <w:rsid w:val="00AD602B"/>
    <w:rsid w:val="00AE03A1"/>
    <w:rsid w:val="00AE03E1"/>
    <w:rsid w:val="00AE6BDE"/>
    <w:rsid w:val="00AF2130"/>
    <w:rsid w:val="00AF3618"/>
    <w:rsid w:val="00AF4270"/>
    <w:rsid w:val="00AF73A5"/>
    <w:rsid w:val="00B101BD"/>
    <w:rsid w:val="00B160BC"/>
    <w:rsid w:val="00B172D4"/>
    <w:rsid w:val="00B211C4"/>
    <w:rsid w:val="00B25F22"/>
    <w:rsid w:val="00B30456"/>
    <w:rsid w:val="00B33E48"/>
    <w:rsid w:val="00B406CE"/>
    <w:rsid w:val="00B40AAD"/>
    <w:rsid w:val="00B44BDF"/>
    <w:rsid w:val="00B46B15"/>
    <w:rsid w:val="00B5023E"/>
    <w:rsid w:val="00B619C6"/>
    <w:rsid w:val="00B6269C"/>
    <w:rsid w:val="00B65B07"/>
    <w:rsid w:val="00B766DC"/>
    <w:rsid w:val="00B81E6F"/>
    <w:rsid w:val="00B87890"/>
    <w:rsid w:val="00B92AFD"/>
    <w:rsid w:val="00BA463F"/>
    <w:rsid w:val="00BB289C"/>
    <w:rsid w:val="00BB2DCE"/>
    <w:rsid w:val="00BC3B05"/>
    <w:rsid w:val="00BC667D"/>
    <w:rsid w:val="00BC6ED9"/>
    <w:rsid w:val="00BD370F"/>
    <w:rsid w:val="00BD3D06"/>
    <w:rsid w:val="00BD4D34"/>
    <w:rsid w:val="00BE6947"/>
    <w:rsid w:val="00BF226E"/>
    <w:rsid w:val="00C01A5D"/>
    <w:rsid w:val="00C05CE3"/>
    <w:rsid w:val="00C06C74"/>
    <w:rsid w:val="00C1074A"/>
    <w:rsid w:val="00C12738"/>
    <w:rsid w:val="00C147DB"/>
    <w:rsid w:val="00C1638E"/>
    <w:rsid w:val="00C2403F"/>
    <w:rsid w:val="00C254E1"/>
    <w:rsid w:val="00C30687"/>
    <w:rsid w:val="00C30D8D"/>
    <w:rsid w:val="00C35094"/>
    <w:rsid w:val="00C4397E"/>
    <w:rsid w:val="00C71D2B"/>
    <w:rsid w:val="00C82082"/>
    <w:rsid w:val="00C836B0"/>
    <w:rsid w:val="00C83FFC"/>
    <w:rsid w:val="00C84788"/>
    <w:rsid w:val="00C91DC4"/>
    <w:rsid w:val="00C9258D"/>
    <w:rsid w:val="00C968E1"/>
    <w:rsid w:val="00C9724B"/>
    <w:rsid w:val="00CA1D8F"/>
    <w:rsid w:val="00CA4F52"/>
    <w:rsid w:val="00CA51E1"/>
    <w:rsid w:val="00CA7019"/>
    <w:rsid w:val="00CB0523"/>
    <w:rsid w:val="00CB25FC"/>
    <w:rsid w:val="00CD2F04"/>
    <w:rsid w:val="00CD5834"/>
    <w:rsid w:val="00CD7829"/>
    <w:rsid w:val="00CE3733"/>
    <w:rsid w:val="00CF4103"/>
    <w:rsid w:val="00CF6A3D"/>
    <w:rsid w:val="00CF7B30"/>
    <w:rsid w:val="00D0061B"/>
    <w:rsid w:val="00D01420"/>
    <w:rsid w:val="00D01A85"/>
    <w:rsid w:val="00D0313D"/>
    <w:rsid w:val="00D045C0"/>
    <w:rsid w:val="00D04D78"/>
    <w:rsid w:val="00D06262"/>
    <w:rsid w:val="00D06E14"/>
    <w:rsid w:val="00D11A41"/>
    <w:rsid w:val="00D157F1"/>
    <w:rsid w:val="00D24F3F"/>
    <w:rsid w:val="00D3141D"/>
    <w:rsid w:val="00D327B7"/>
    <w:rsid w:val="00D350DD"/>
    <w:rsid w:val="00D3768C"/>
    <w:rsid w:val="00D41F92"/>
    <w:rsid w:val="00D4608F"/>
    <w:rsid w:val="00D460D7"/>
    <w:rsid w:val="00D46699"/>
    <w:rsid w:val="00D50874"/>
    <w:rsid w:val="00D52A95"/>
    <w:rsid w:val="00D561CA"/>
    <w:rsid w:val="00D56520"/>
    <w:rsid w:val="00D5715E"/>
    <w:rsid w:val="00D741AB"/>
    <w:rsid w:val="00D74624"/>
    <w:rsid w:val="00D74A26"/>
    <w:rsid w:val="00D75645"/>
    <w:rsid w:val="00D76223"/>
    <w:rsid w:val="00D77694"/>
    <w:rsid w:val="00D85042"/>
    <w:rsid w:val="00D86CE0"/>
    <w:rsid w:val="00D97E4D"/>
    <w:rsid w:val="00DA13EF"/>
    <w:rsid w:val="00DA5F0F"/>
    <w:rsid w:val="00DB731B"/>
    <w:rsid w:val="00DC2C25"/>
    <w:rsid w:val="00DD03EF"/>
    <w:rsid w:val="00DD2645"/>
    <w:rsid w:val="00DD5953"/>
    <w:rsid w:val="00DE101A"/>
    <w:rsid w:val="00DE3B22"/>
    <w:rsid w:val="00DE4402"/>
    <w:rsid w:val="00DE73E8"/>
    <w:rsid w:val="00DE77B7"/>
    <w:rsid w:val="00DF0839"/>
    <w:rsid w:val="00DF5105"/>
    <w:rsid w:val="00E03679"/>
    <w:rsid w:val="00E05D0F"/>
    <w:rsid w:val="00E16608"/>
    <w:rsid w:val="00E220A5"/>
    <w:rsid w:val="00E25E42"/>
    <w:rsid w:val="00E26368"/>
    <w:rsid w:val="00E30177"/>
    <w:rsid w:val="00E305C0"/>
    <w:rsid w:val="00E309DC"/>
    <w:rsid w:val="00E33533"/>
    <w:rsid w:val="00E358C3"/>
    <w:rsid w:val="00E3624D"/>
    <w:rsid w:val="00E36A7A"/>
    <w:rsid w:val="00E42CBA"/>
    <w:rsid w:val="00E50E99"/>
    <w:rsid w:val="00E51CA4"/>
    <w:rsid w:val="00E52101"/>
    <w:rsid w:val="00E52424"/>
    <w:rsid w:val="00E5350C"/>
    <w:rsid w:val="00E676E4"/>
    <w:rsid w:val="00E70CA7"/>
    <w:rsid w:val="00E73BED"/>
    <w:rsid w:val="00E74697"/>
    <w:rsid w:val="00E82210"/>
    <w:rsid w:val="00E90C3D"/>
    <w:rsid w:val="00E9271D"/>
    <w:rsid w:val="00E93348"/>
    <w:rsid w:val="00EB589C"/>
    <w:rsid w:val="00ED5074"/>
    <w:rsid w:val="00ED6FE6"/>
    <w:rsid w:val="00ED703D"/>
    <w:rsid w:val="00EE2A7E"/>
    <w:rsid w:val="00EE33BE"/>
    <w:rsid w:val="00EE4923"/>
    <w:rsid w:val="00EF0AF5"/>
    <w:rsid w:val="00EF1E3F"/>
    <w:rsid w:val="00F01625"/>
    <w:rsid w:val="00F12B00"/>
    <w:rsid w:val="00F16730"/>
    <w:rsid w:val="00F22386"/>
    <w:rsid w:val="00F23ED1"/>
    <w:rsid w:val="00F26764"/>
    <w:rsid w:val="00F27981"/>
    <w:rsid w:val="00F30E72"/>
    <w:rsid w:val="00F435E3"/>
    <w:rsid w:val="00F442FE"/>
    <w:rsid w:val="00F56591"/>
    <w:rsid w:val="00F63F1F"/>
    <w:rsid w:val="00F67289"/>
    <w:rsid w:val="00F73AE0"/>
    <w:rsid w:val="00F811CE"/>
    <w:rsid w:val="00F902AE"/>
    <w:rsid w:val="00F90D3C"/>
    <w:rsid w:val="00F94A70"/>
    <w:rsid w:val="00F96DCF"/>
    <w:rsid w:val="00F97BF7"/>
    <w:rsid w:val="00FA1370"/>
    <w:rsid w:val="00FA26A9"/>
    <w:rsid w:val="00FA4DD2"/>
    <w:rsid w:val="00FA5E2E"/>
    <w:rsid w:val="00FA6B0E"/>
    <w:rsid w:val="00FB51A0"/>
    <w:rsid w:val="00FB5A2B"/>
    <w:rsid w:val="00FC7099"/>
    <w:rsid w:val="00FD0045"/>
    <w:rsid w:val="00FD506A"/>
    <w:rsid w:val="00FD549A"/>
    <w:rsid w:val="00FE63D6"/>
    <w:rsid w:val="00FF0F65"/>
    <w:rsid w:val="00FF1C33"/>
    <w:rsid w:val="00FF2CA7"/>
    <w:rsid w:val="00FF3E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D747A4"/>
  <w15:docId w15:val="{E2CAFF0A-78B8-4A0D-8BF3-13A37C62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679"/>
    <w:rPr>
      <w:sz w:val="24"/>
      <w:szCs w:val="24"/>
    </w:rPr>
  </w:style>
  <w:style w:type="paragraph" w:styleId="Heading1">
    <w:name w:val="heading 1"/>
    <w:basedOn w:val="Normal"/>
    <w:next w:val="Normal"/>
    <w:qFormat/>
    <w:rsid w:val="00DD03EF"/>
    <w:pPr>
      <w:keepNext/>
      <w:jc w:val="center"/>
      <w:outlineLvl w:val="0"/>
    </w:pPr>
    <w:rPr>
      <w:rFonts w:ascii="Arial" w:hAnsi="Arial" w:cs="Arial"/>
      <w:b/>
      <w:bCs/>
      <w:u w:val="single"/>
    </w:rPr>
  </w:style>
  <w:style w:type="paragraph" w:styleId="Heading2">
    <w:name w:val="heading 2"/>
    <w:basedOn w:val="Normal"/>
    <w:next w:val="Normal"/>
    <w:qFormat/>
    <w:rsid w:val="00DD03EF"/>
    <w:pPr>
      <w:keepNext/>
      <w:jc w:val="both"/>
      <w:outlineLvl w:val="1"/>
    </w:pPr>
    <w:rPr>
      <w:rFonts w:ascii="Arial" w:hAnsi="Arial" w:cs="Arial"/>
      <w:b/>
      <w:bCs/>
      <w:u w:val="single"/>
    </w:rPr>
  </w:style>
  <w:style w:type="paragraph" w:styleId="Heading3">
    <w:name w:val="heading 3"/>
    <w:basedOn w:val="Normal"/>
    <w:next w:val="Normal"/>
    <w:qFormat/>
    <w:rsid w:val="00DD03EF"/>
    <w:pPr>
      <w:keepNext/>
      <w:jc w:val="both"/>
      <w:outlineLvl w:val="2"/>
    </w:pPr>
    <w:rPr>
      <w:rFonts w:ascii="Arial" w:hAnsi="Arial" w:cs="Arial"/>
      <w:b/>
      <w:bCs/>
    </w:rPr>
  </w:style>
  <w:style w:type="paragraph" w:styleId="Heading4">
    <w:name w:val="heading 4"/>
    <w:basedOn w:val="Normal"/>
    <w:next w:val="Normal"/>
    <w:qFormat/>
    <w:rsid w:val="00DD03EF"/>
    <w:pPr>
      <w:keepNext/>
      <w:jc w:val="center"/>
      <w:outlineLvl w:val="3"/>
    </w:pPr>
    <w:rPr>
      <w:rFonts w:ascii="Arial" w:hAnsi="Arial" w:cs="Arial"/>
      <w:b/>
      <w:bCs/>
      <w:sz w:val="22"/>
      <w:szCs w:val="22"/>
    </w:rPr>
  </w:style>
  <w:style w:type="paragraph" w:styleId="Heading5">
    <w:name w:val="heading 5"/>
    <w:basedOn w:val="Normal"/>
    <w:next w:val="Normal"/>
    <w:qFormat/>
    <w:rsid w:val="00DD03EF"/>
    <w:pPr>
      <w:keepNext/>
      <w:jc w:val="center"/>
      <w:outlineLvl w:val="4"/>
    </w:pPr>
    <w:rPr>
      <w:rFonts w:ascii="Arial" w:hAnsi="Arial" w:cs="Arial"/>
      <w:b/>
      <w:bCs/>
    </w:rPr>
  </w:style>
  <w:style w:type="paragraph" w:styleId="Heading6">
    <w:name w:val="heading 6"/>
    <w:basedOn w:val="Normal"/>
    <w:next w:val="Normal"/>
    <w:qFormat/>
    <w:rsid w:val="00DD03EF"/>
    <w:pPr>
      <w:keepNext/>
      <w:jc w:val="center"/>
      <w:outlineLvl w:val="5"/>
    </w:pPr>
    <w:rPr>
      <w:rFonts w:ascii="Arial" w:hAnsi="Arial" w:cs="Arial"/>
      <w:u w:val="single"/>
    </w:rPr>
  </w:style>
  <w:style w:type="paragraph" w:styleId="Heading7">
    <w:name w:val="heading 7"/>
    <w:basedOn w:val="Normal"/>
    <w:next w:val="Normal"/>
    <w:qFormat/>
    <w:rsid w:val="00DD03EF"/>
    <w:pPr>
      <w:keepNext/>
      <w:jc w:val="both"/>
      <w:outlineLvl w:val="6"/>
    </w:pPr>
    <w:rPr>
      <w:rFonts w:ascii="Arial" w:hAnsi="Arial" w:cs="Arial"/>
      <w:b/>
      <w:bCs/>
      <w:sz w:val="20"/>
      <w:szCs w:val="20"/>
    </w:rPr>
  </w:style>
  <w:style w:type="paragraph" w:styleId="Heading8">
    <w:name w:val="heading 8"/>
    <w:basedOn w:val="Normal"/>
    <w:next w:val="Normal"/>
    <w:qFormat/>
    <w:rsid w:val="00DD03EF"/>
    <w:pPr>
      <w:keepNext/>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D03EF"/>
    <w:pPr>
      <w:ind w:left="432" w:hanging="432"/>
    </w:pPr>
    <w:rPr>
      <w:rFonts w:ascii="Arial" w:hAnsi="Arial" w:cs="Arial"/>
    </w:rPr>
  </w:style>
  <w:style w:type="paragraph" w:styleId="BodyTextIndent2">
    <w:name w:val="Body Text Indent 2"/>
    <w:basedOn w:val="Normal"/>
    <w:rsid w:val="00DD03EF"/>
    <w:pPr>
      <w:ind w:left="432" w:hanging="432"/>
      <w:jc w:val="both"/>
    </w:pPr>
    <w:rPr>
      <w:rFonts w:ascii="Arial" w:hAnsi="Arial" w:cs="Arial"/>
    </w:rPr>
  </w:style>
  <w:style w:type="paragraph" w:styleId="BodyTextIndent3">
    <w:name w:val="Body Text Indent 3"/>
    <w:basedOn w:val="Normal"/>
    <w:rsid w:val="00DD03EF"/>
    <w:pPr>
      <w:ind w:left="442" w:hanging="442"/>
      <w:jc w:val="both"/>
    </w:pPr>
    <w:rPr>
      <w:rFonts w:ascii="Arial" w:hAnsi="Arial" w:cs="Arial"/>
      <w:sz w:val="22"/>
      <w:szCs w:val="22"/>
    </w:rPr>
  </w:style>
  <w:style w:type="paragraph" w:styleId="Header">
    <w:name w:val="header"/>
    <w:basedOn w:val="Normal"/>
    <w:link w:val="HeaderChar"/>
    <w:uiPriority w:val="99"/>
    <w:rsid w:val="00DD03EF"/>
    <w:pPr>
      <w:tabs>
        <w:tab w:val="center" w:pos="4153"/>
        <w:tab w:val="right" w:pos="8306"/>
      </w:tabs>
    </w:pPr>
  </w:style>
  <w:style w:type="paragraph" w:styleId="Footer">
    <w:name w:val="footer"/>
    <w:basedOn w:val="Normal"/>
    <w:link w:val="FooterChar"/>
    <w:uiPriority w:val="99"/>
    <w:rsid w:val="00DD03EF"/>
    <w:pPr>
      <w:tabs>
        <w:tab w:val="center" w:pos="4153"/>
        <w:tab w:val="right" w:pos="8306"/>
      </w:tabs>
    </w:pPr>
  </w:style>
  <w:style w:type="character" w:styleId="PageNumber">
    <w:name w:val="page number"/>
    <w:basedOn w:val="DefaultParagraphFont"/>
    <w:rsid w:val="00DD03EF"/>
  </w:style>
  <w:style w:type="paragraph" w:styleId="BodyText">
    <w:name w:val="Body Text"/>
    <w:basedOn w:val="Normal"/>
    <w:rsid w:val="00DD03EF"/>
    <w:pPr>
      <w:jc w:val="both"/>
    </w:pPr>
    <w:rPr>
      <w:rFonts w:ascii="Arial" w:hAnsi="Arial" w:cs="Arial"/>
      <w:sz w:val="22"/>
      <w:szCs w:val="22"/>
    </w:rPr>
  </w:style>
  <w:style w:type="paragraph" w:styleId="BodyText2">
    <w:name w:val="Body Text 2"/>
    <w:basedOn w:val="Normal"/>
    <w:rsid w:val="00DD03EF"/>
    <w:rPr>
      <w:rFonts w:ascii="Arial" w:hAnsi="Arial" w:cs="Arial"/>
      <w:sz w:val="22"/>
      <w:szCs w:val="22"/>
    </w:rPr>
  </w:style>
  <w:style w:type="paragraph" w:styleId="BodyText3">
    <w:name w:val="Body Text 3"/>
    <w:basedOn w:val="Normal"/>
    <w:link w:val="BodyText3Char"/>
    <w:rsid w:val="00DD03EF"/>
    <w:pPr>
      <w:autoSpaceDE w:val="0"/>
      <w:autoSpaceDN w:val="0"/>
      <w:adjustRightInd w:val="0"/>
      <w:spacing w:line="240" w:lineRule="atLeast"/>
      <w:jc w:val="both"/>
    </w:pPr>
    <w:rPr>
      <w:rFonts w:ascii="Helv" w:hAnsi="Helv"/>
      <w:color w:val="000000"/>
    </w:rPr>
  </w:style>
  <w:style w:type="paragraph" w:styleId="BlockText">
    <w:name w:val="Block Text"/>
    <w:basedOn w:val="Normal"/>
    <w:rsid w:val="00256D90"/>
    <w:pPr>
      <w:ind w:left="540" w:right="108" w:hanging="540"/>
      <w:jc w:val="both"/>
    </w:pPr>
  </w:style>
  <w:style w:type="paragraph" w:styleId="BalloonText">
    <w:name w:val="Balloon Text"/>
    <w:basedOn w:val="Normal"/>
    <w:semiHidden/>
    <w:rsid w:val="00A7545C"/>
    <w:rPr>
      <w:rFonts w:ascii="Tahoma" w:hAnsi="Tahoma" w:cs="Tahoma"/>
      <w:sz w:val="16"/>
      <w:szCs w:val="16"/>
    </w:rPr>
  </w:style>
  <w:style w:type="character" w:styleId="Strong">
    <w:name w:val="Strong"/>
    <w:qFormat/>
    <w:rsid w:val="003E450D"/>
    <w:rPr>
      <w:b/>
      <w:bCs/>
    </w:rPr>
  </w:style>
  <w:style w:type="paragraph" w:styleId="ListParagraph">
    <w:name w:val="List Paragraph"/>
    <w:basedOn w:val="Normal"/>
    <w:uiPriority w:val="34"/>
    <w:qFormat/>
    <w:rsid w:val="00D97E4D"/>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D52A95"/>
    <w:rPr>
      <w:rFonts w:ascii="Calibri" w:eastAsia="Calibri" w:hAnsi="Calibri"/>
      <w:sz w:val="22"/>
      <w:szCs w:val="22"/>
      <w:lang w:val="en-IN"/>
    </w:rPr>
  </w:style>
  <w:style w:type="table" w:styleId="TableGrid">
    <w:name w:val="Table Grid"/>
    <w:basedOn w:val="TableNormal"/>
    <w:uiPriority w:val="59"/>
    <w:rsid w:val="007D0AF5"/>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0AF5"/>
    <w:pPr>
      <w:autoSpaceDE w:val="0"/>
      <w:autoSpaceDN w:val="0"/>
      <w:adjustRightInd w:val="0"/>
    </w:pPr>
    <w:rPr>
      <w:rFonts w:ascii="Palatino Linotype" w:eastAsiaTheme="minorHAnsi" w:hAnsi="Palatino Linotype" w:cs="Palatino Linotype"/>
      <w:color w:val="000000"/>
      <w:sz w:val="24"/>
      <w:szCs w:val="24"/>
      <w:lang w:val="en-IN"/>
    </w:rPr>
  </w:style>
  <w:style w:type="character" w:customStyle="1" w:styleId="FooterChar">
    <w:name w:val="Footer Char"/>
    <w:basedOn w:val="DefaultParagraphFont"/>
    <w:link w:val="Footer"/>
    <w:uiPriority w:val="99"/>
    <w:rsid w:val="003C2DE3"/>
    <w:rPr>
      <w:sz w:val="24"/>
      <w:szCs w:val="24"/>
    </w:rPr>
  </w:style>
  <w:style w:type="character" w:customStyle="1" w:styleId="BodyText3Char">
    <w:name w:val="Body Text 3 Char"/>
    <w:basedOn w:val="DefaultParagraphFont"/>
    <w:link w:val="BodyText3"/>
    <w:rsid w:val="000A5175"/>
    <w:rPr>
      <w:rFonts w:ascii="Helv" w:hAnsi="Helv"/>
      <w:color w:val="000000"/>
      <w:sz w:val="24"/>
      <w:szCs w:val="24"/>
    </w:rPr>
  </w:style>
  <w:style w:type="character" w:customStyle="1" w:styleId="HeaderChar">
    <w:name w:val="Header Char"/>
    <w:basedOn w:val="DefaultParagraphFont"/>
    <w:link w:val="Header"/>
    <w:uiPriority w:val="99"/>
    <w:rsid w:val="00AE6B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1964">
      <w:bodyDiv w:val="1"/>
      <w:marLeft w:val="0"/>
      <w:marRight w:val="0"/>
      <w:marTop w:val="0"/>
      <w:marBottom w:val="0"/>
      <w:divBdr>
        <w:top w:val="none" w:sz="0" w:space="0" w:color="auto"/>
        <w:left w:val="none" w:sz="0" w:space="0" w:color="auto"/>
        <w:bottom w:val="none" w:sz="0" w:space="0" w:color="auto"/>
        <w:right w:val="none" w:sz="0" w:space="0" w:color="auto"/>
      </w:divBdr>
    </w:div>
    <w:div w:id="141509776">
      <w:bodyDiv w:val="1"/>
      <w:marLeft w:val="0"/>
      <w:marRight w:val="0"/>
      <w:marTop w:val="0"/>
      <w:marBottom w:val="0"/>
      <w:divBdr>
        <w:top w:val="none" w:sz="0" w:space="0" w:color="auto"/>
        <w:left w:val="none" w:sz="0" w:space="0" w:color="auto"/>
        <w:bottom w:val="none" w:sz="0" w:space="0" w:color="auto"/>
        <w:right w:val="none" w:sz="0" w:space="0" w:color="auto"/>
      </w:divBdr>
    </w:div>
    <w:div w:id="220218558">
      <w:bodyDiv w:val="1"/>
      <w:marLeft w:val="0"/>
      <w:marRight w:val="0"/>
      <w:marTop w:val="0"/>
      <w:marBottom w:val="0"/>
      <w:divBdr>
        <w:top w:val="none" w:sz="0" w:space="0" w:color="auto"/>
        <w:left w:val="none" w:sz="0" w:space="0" w:color="auto"/>
        <w:bottom w:val="none" w:sz="0" w:space="0" w:color="auto"/>
        <w:right w:val="none" w:sz="0" w:space="0" w:color="auto"/>
      </w:divBdr>
    </w:div>
    <w:div w:id="369037567">
      <w:bodyDiv w:val="1"/>
      <w:marLeft w:val="0"/>
      <w:marRight w:val="0"/>
      <w:marTop w:val="0"/>
      <w:marBottom w:val="0"/>
      <w:divBdr>
        <w:top w:val="none" w:sz="0" w:space="0" w:color="auto"/>
        <w:left w:val="none" w:sz="0" w:space="0" w:color="auto"/>
        <w:bottom w:val="none" w:sz="0" w:space="0" w:color="auto"/>
        <w:right w:val="none" w:sz="0" w:space="0" w:color="auto"/>
      </w:divBdr>
    </w:div>
    <w:div w:id="408187433">
      <w:bodyDiv w:val="1"/>
      <w:marLeft w:val="0"/>
      <w:marRight w:val="0"/>
      <w:marTop w:val="0"/>
      <w:marBottom w:val="0"/>
      <w:divBdr>
        <w:top w:val="none" w:sz="0" w:space="0" w:color="auto"/>
        <w:left w:val="none" w:sz="0" w:space="0" w:color="auto"/>
        <w:bottom w:val="none" w:sz="0" w:space="0" w:color="auto"/>
        <w:right w:val="none" w:sz="0" w:space="0" w:color="auto"/>
      </w:divBdr>
    </w:div>
    <w:div w:id="438960785">
      <w:bodyDiv w:val="1"/>
      <w:marLeft w:val="0"/>
      <w:marRight w:val="0"/>
      <w:marTop w:val="0"/>
      <w:marBottom w:val="0"/>
      <w:divBdr>
        <w:top w:val="none" w:sz="0" w:space="0" w:color="auto"/>
        <w:left w:val="none" w:sz="0" w:space="0" w:color="auto"/>
        <w:bottom w:val="none" w:sz="0" w:space="0" w:color="auto"/>
        <w:right w:val="none" w:sz="0" w:space="0" w:color="auto"/>
      </w:divBdr>
    </w:div>
    <w:div w:id="640118978">
      <w:bodyDiv w:val="1"/>
      <w:marLeft w:val="0"/>
      <w:marRight w:val="0"/>
      <w:marTop w:val="0"/>
      <w:marBottom w:val="0"/>
      <w:divBdr>
        <w:top w:val="none" w:sz="0" w:space="0" w:color="auto"/>
        <w:left w:val="none" w:sz="0" w:space="0" w:color="auto"/>
        <w:bottom w:val="none" w:sz="0" w:space="0" w:color="auto"/>
        <w:right w:val="none" w:sz="0" w:space="0" w:color="auto"/>
      </w:divBdr>
    </w:div>
    <w:div w:id="670564997">
      <w:bodyDiv w:val="1"/>
      <w:marLeft w:val="0"/>
      <w:marRight w:val="0"/>
      <w:marTop w:val="0"/>
      <w:marBottom w:val="0"/>
      <w:divBdr>
        <w:top w:val="none" w:sz="0" w:space="0" w:color="auto"/>
        <w:left w:val="none" w:sz="0" w:space="0" w:color="auto"/>
        <w:bottom w:val="none" w:sz="0" w:space="0" w:color="auto"/>
        <w:right w:val="none" w:sz="0" w:space="0" w:color="auto"/>
      </w:divBdr>
    </w:div>
    <w:div w:id="682558631">
      <w:bodyDiv w:val="1"/>
      <w:marLeft w:val="0"/>
      <w:marRight w:val="0"/>
      <w:marTop w:val="0"/>
      <w:marBottom w:val="0"/>
      <w:divBdr>
        <w:top w:val="none" w:sz="0" w:space="0" w:color="auto"/>
        <w:left w:val="none" w:sz="0" w:space="0" w:color="auto"/>
        <w:bottom w:val="none" w:sz="0" w:space="0" w:color="auto"/>
        <w:right w:val="none" w:sz="0" w:space="0" w:color="auto"/>
      </w:divBdr>
    </w:div>
    <w:div w:id="777480458">
      <w:bodyDiv w:val="1"/>
      <w:marLeft w:val="0"/>
      <w:marRight w:val="0"/>
      <w:marTop w:val="0"/>
      <w:marBottom w:val="0"/>
      <w:divBdr>
        <w:top w:val="none" w:sz="0" w:space="0" w:color="auto"/>
        <w:left w:val="none" w:sz="0" w:space="0" w:color="auto"/>
        <w:bottom w:val="none" w:sz="0" w:space="0" w:color="auto"/>
        <w:right w:val="none" w:sz="0" w:space="0" w:color="auto"/>
      </w:divBdr>
    </w:div>
    <w:div w:id="829102402">
      <w:bodyDiv w:val="1"/>
      <w:marLeft w:val="0"/>
      <w:marRight w:val="0"/>
      <w:marTop w:val="0"/>
      <w:marBottom w:val="0"/>
      <w:divBdr>
        <w:top w:val="none" w:sz="0" w:space="0" w:color="auto"/>
        <w:left w:val="none" w:sz="0" w:space="0" w:color="auto"/>
        <w:bottom w:val="none" w:sz="0" w:space="0" w:color="auto"/>
        <w:right w:val="none" w:sz="0" w:space="0" w:color="auto"/>
      </w:divBdr>
    </w:div>
    <w:div w:id="861942630">
      <w:bodyDiv w:val="1"/>
      <w:marLeft w:val="0"/>
      <w:marRight w:val="0"/>
      <w:marTop w:val="0"/>
      <w:marBottom w:val="0"/>
      <w:divBdr>
        <w:top w:val="none" w:sz="0" w:space="0" w:color="auto"/>
        <w:left w:val="none" w:sz="0" w:space="0" w:color="auto"/>
        <w:bottom w:val="none" w:sz="0" w:space="0" w:color="auto"/>
        <w:right w:val="none" w:sz="0" w:space="0" w:color="auto"/>
      </w:divBdr>
    </w:div>
    <w:div w:id="913666577">
      <w:bodyDiv w:val="1"/>
      <w:marLeft w:val="0"/>
      <w:marRight w:val="0"/>
      <w:marTop w:val="0"/>
      <w:marBottom w:val="0"/>
      <w:divBdr>
        <w:top w:val="none" w:sz="0" w:space="0" w:color="auto"/>
        <w:left w:val="none" w:sz="0" w:space="0" w:color="auto"/>
        <w:bottom w:val="none" w:sz="0" w:space="0" w:color="auto"/>
        <w:right w:val="none" w:sz="0" w:space="0" w:color="auto"/>
      </w:divBdr>
    </w:div>
    <w:div w:id="915284055">
      <w:bodyDiv w:val="1"/>
      <w:marLeft w:val="0"/>
      <w:marRight w:val="0"/>
      <w:marTop w:val="0"/>
      <w:marBottom w:val="0"/>
      <w:divBdr>
        <w:top w:val="none" w:sz="0" w:space="0" w:color="auto"/>
        <w:left w:val="none" w:sz="0" w:space="0" w:color="auto"/>
        <w:bottom w:val="none" w:sz="0" w:space="0" w:color="auto"/>
        <w:right w:val="none" w:sz="0" w:space="0" w:color="auto"/>
      </w:divBdr>
    </w:div>
    <w:div w:id="973490210">
      <w:bodyDiv w:val="1"/>
      <w:marLeft w:val="0"/>
      <w:marRight w:val="0"/>
      <w:marTop w:val="0"/>
      <w:marBottom w:val="0"/>
      <w:divBdr>
        <w:top w:val="none" w:sz="0" w:space="0" w:color="auto"/>
        <w:left w:val="none" w:sz="0" w:space="0" w:color="auto"/>
        <w:bottom w:val="none" w:sz="0" w:space="0" w:color="auto"/>
        <w:right w:val="none" w:sz="0" w:space="0" w:color="auto"/>
      </w:divBdr>
    </w:div>
    <w:div w:id="1194734432">
      <w:bodyDiv w:val="1"/>
      <w:marLeft w:val="0"/>
      <w:marRight w:val="0"/>
      <w:marTop w:val="0"/>
      <w:marBottom w:val="0"/>
      <w:divBdr>
        <w:top w:val="none" w:sz="0" w:space="0" w:color="auto"/>
        <w:left w:val="none" w:sz="0" w:space="0" w:color="auto"/>
        <w:bottom w:val="none" w:sz="0" w:space="0" w:color="auto"/>
        <w:right w:val="none" w:sz="0" w:space="0" w:color="auto"/>
      </w:divBdr>
    </w:div>
    <w:div w:id="1223982250">
      <w:bodyDiv w:val="1"/>
      <w:marLeft w:val="0"/>
      <w:marRight w:val="0"/>
      <w:marTop w:val="0"/>
      <w:marBottom w:val="0"/>
      <w:divBdr>
        <w:top w:val="none" w:sz="0" w:space="0" w:color="auto"/>
        <w:left w:val="none" w:sz="0" w:space="0" w:color="auto"/>
        <w:bottom w:val="none" w:sz="0" w:space="0" w:color="auto"/>
        <w:right w:val="none" w:sz="0" w:space="0" w:color="auto"/>
      </w:divBdr>
    </w:div>
    <w:div w:id="1228757727">
      <w:bodyDiv w:val="1"/>
      <w:marLeft w:val="0"/>
      <w:marRight w:val="0"/>
      <w:marTop w:val="0"/>
      <w:marBottom w:val="0"/>
      <w:divBdr>
        <w:top w:val="none" w:sz="0" w:space="0" w:color="auto"/>
        <w:left w:val="none" w:sz="0" w:space="0" w:color="auto"/>
        <w:bottom w:val="none" w:sz="0" w:space="0" w:color="auto"/>
        <w:right w:val="none" w:sz="0" w:space="0" w:color="auto"/>
      </w:divBdr>
    </w:div>
    <w:div w:id="1259946217">
      <w:bodyDiv w:val="1"/>
      <w:marLeft w:val="0"/>
      <w:marRight w:val="0"/>
      <w:marTop w:val="0"/>
      <w:marBottom w:val="0"/>
      <w:divBdr>
        <w:top w:val="none" w:sz="0" w:space="0" w:color="auto"/>
        <w:left w:val="none" w:sz="0" w:space="0" w:color="auto"/>
        <w:bottom w:val="none" w:sz="0" w:space="0" w:color="auto"/>
        <w:right w:val="none" w:sz="0" w:space="0" w:color="auto"/>
      </w:divBdr>
    </w:div>
    <w:div w:id="1529173843">
      <w:bodyDiv w:val="1"/>
      <w:marLeft w:val="0"/>
      <w:marRight w:val="0"/>
      <w:marTop w:val="0"/>
      <w:marBottom w:val="0"/>
      <w:divBdr>
        <w:top w:val="none" w:sz="0" w:space="0" w:color="auto"/>
        <w:left w:val="none" w:sz="0" w:space="0" w:color="auto"/>
        <w:bottom w:val="none" w:sz="0" w:space="0" w:color="auto"/>
        <w:right w:val="none" w:sz="0" w:space="0" w:color="auto"/>
      </w:divBdr>
    </w:div>
    <w:div w:id="1572811986">
      <w:bodyDiv w:val="1"/>
      <w:marLeft w:val="0"/>
      <w:marRight w:val="0"/>
      <w:marTop w:val="0"/>
      <w:marBottom w:val="0"/>
      <w:divBdr>
        <w:top w:val="none" w:sz="0" w:space="0" w:color="auto"/>
        <w:left w:val="none" w:sz="0" w:space="0" w:color="auto"/>
        <w:bottom w:val="none" w:sz="0" w:space="0" w:color="auto"/>
        <w:right w:val="none" w:sz="0" w:space="0" w:color="auto"/>
      </w:divBdr>
    </w:div>
    <w:div w:id="1615675666">
      <w:bodyDiv w:val="1"/>
      <w:marLeft w:val="0"/>
      <w:marRight w:val="0"/>
      <w:marTop w:val="0"/>
      <w:marBottom w:val="0"/>
      <w:divBdr>
        <w:top w:val="none" w:sz="0" w:space="0" w:color="auto"/>
        <w:left w:val="none" w:sz="0" w:space="0" w:color="auto"/>
        <w:bottom w:val="none" w:sz="0" w:space="0" w:color="auto"/>
        <w:right w:val="none" w:sz="0" w:space="0" w:color="auto"/>
      </w:divBdr>
    </w:div>
    <w:div w:id="1651594117">
      <w:bodyDiv w:val="1"/>
      <w:marLeft w:val="0"/>
      <w:marRight w:val="0"/>
      <w:marTop w:val="0"/>
      <w:marBottom w:val="0"/>
      <w:divBdr>
        <w:top w:val="none" w:sz="0" w:space="0" w:color="auto"/>
        <w:left w:val="none" w:sz="0" w:space="0" w:color="auto"/>
        <w:bottom w:val="none" w:sz="0" w:space="0" w:color="auto"/>
        <w:right w:val="none" w:sz="0" w:space="0" w:color="auto"/>
      </w:divBdr>
    </w:div>
    <w:div w:id="1681394338">
      <w:bodyDiv w:val="1"/>
      <w:marLeft w:val="0"/>
      <w:marRight w:val="0"/>
      <w:marTop w:val="0"/>
      <w:marBottom w:val="0"/>
      <w:divBdr>
        <w:top w:val="none" w:sz="0" w:space="0" w:color="auto"/>
        <w:left w:val="none" w:sz="0" w:space="0" w:color="auto"/>
        <w:bottom w:val="none" w:sz="0" w:space="0" w:color="auto"/>
        <w:right w:val="none" w:sz="0" w:space="0" w:color="auto"/>
      </w:divBdr>
    </w:div>
    <w:div w:id="1764375974">
      <w:bodyDiv w:val="1"/>
      <w:marLeft w:val="0"/>
      <w:marRight w:val="0"/>
      <w:marTop w:val="0"/>
      <w:marBottom w:val="0"/>
      <w:divBdr>
        <w:top w:val="none" w:sz="0" w:space="0" w:color="auto"/>
        <w:left w:val="none" w:sz="0" w:space="0" w:color="auto"/>
        <w:bottom w:val="none" w:sz="0" w:space="0" w:color="auto"/>
        <w:right w:val="none" w:sz="0" w:space="0" w:color="auto"/>
      </w:divBdr>
    </w:div>
    <w:div w:id="1803888806">
      <w:bodyDiv w:val="1"/>
      <w:marLeft w:val="0"/>
      <w:marRight w:val="0"/>
      <w:marTop w:val="0"/>
      <w:marBottom w:val="0"/>
      <w:divBdr>
        <w:top w:val="none" w:sz="0" w:space="0" w:color="auto"/>
        <w:left w:val="none" w:sz="0" w:space="0" w:color="auto"/>
        <w:bottom w:val="none" w:sz="0" w:space="0" w:color="auto"/>
        <w:right w:val="none" w:sz="0" w:space="0" w:color="auto"/>
      </w:divBdr>
    </w:div>
    <w:div w:id="1867331630">
      <w:bodyDiv w:val="1"/>
      <w:marLeft w:val="0"/>
      <w:marRight w:val="0"/>
      <w:marTop w:val="0"/>
      <w:marBottom w:val="0"/>
      <w:divBdr>
        <w:top w:val="none" w:sz="0" w:space="0" w:color="auto"/>
        <w:left w:val="none" w:sz="0" w:space="0" w:color="auto"/>
        <w:bottom w:val="none" w:sz="0" w:space="0" w:color="auto"/>
        <w:right w:val="none" w:sz="0" w:space="0" w:color="auto"/>
      </w:divBdr>
    </w:div>
    <w:div w:id="1896617625">
      <w:bodyDiv w:val="1"/>
      <w:marLeft w:val="0"/>
      <w:marRight w:val="0"/>
      <w:marTop w:val="0"/>
      <w:marBottom w:val="0"/>
      <w:divBdr>
        <w:top w:val="none" w:sz="0" w:space="0" w:color="auto"/>
        <w:left w:val="none" w:sz="0" w:space="0" w:color="auto"/>
        <w:bottom w:val="none" w:sz="0" w:space="0" w:color="auto"/>
        <w:right w:val="none" w:sz="0" w:space="0" w:color="auto"/>
      </w:divBdr>
    </w:div>
    <w:div w:id="1941599730">
      <w:bodyDiv w:val="1"/>
      <w:marLeft w:val="0"/>
      <w:marRight w:val="0"/>
      <w:marTop w:val="0"/>
      <w:marBottom w:val="0"/>
      <w:divBdr>
        <w:top w:val="none" w:sz="0" w:space="0" w:color="auto"/>
        <w:left w:val="none" w:sz="0" w:space="0" w:color="auto"/>
        <w:bottom w:val="none" w:sz="0" w:space="0" w:color="auto"/>
        <w:right w:val="none" w:sz="0" w:space="0" w:color="auto"/>
      </w:divBdr>
      <w:divsChild>
        <w:div w:id="743649470">
          <w:marLeft w:val="0"/>
          <w:marRight w:val="0"/>
          <w:marTop w:val="0"/>
          <w:marBottom w:val="0"/>
          <w:divBdr>
            <w:top w:val="none" w:sz="0" w:space="0" w:color="auto"/>
            <w:left w:val="none" w:sz="0" w:space="0" w:color="auto"/>
            <w:bottom w:val="none" w:sz="0" w:space="0" w:color="auto"/>
            <w:right w:val="none" w:sz="0" w:space="0" w:color="auto"/>
          </w:divBdr>
        </w:div>
      </w:divsChild>
    </w:div>
    <w:div w:id="1983921608">
      <w:bodyDiv w:val="1"/>
      <w:marLeft w:val="0"/>
      <w:marRight w:val="0"/>
      <w:marTop w:val="0"/>
      <w:marBottom w:val="0"/>
      <w:divBdr>
        <w:top w:val="none" w:sz="0" w:space="0" w:color="auto"/>
        <w:left w:val="none" w:sz="0" w:space="0" w:color="auto"/>
        <w:bottom w:val="none" w:sz="0" w:space="0" w:color="auto"/>
        <w:right w:val="none" w:sz="0" w:space="0" w:color="auto"/>
      </w:divBdr>
    </w:div>
    <w:div w:id="1988705728">
      <w:bodyDiv w:val="1"/>
      <w:marLeft w:val="0"/>
      <w:marRight w:val="0"/>
      <w:marTop w:val="0"/>
      <w:marBottom w:val="0"/>
      <w:divBdr>
        <w:top w:val="none" w:sz="0" w:space="0" w:color="auto"/>
        <w:left w:val="none" w:sz="0" w:space="0" w:color="auto"/>
        <w:bottom w:val="none" w:sz="0" w:space="0" w:color="auto"/>
        <w:right w:val="none" w:sz="0" w:space="0" w:color="auto"/>
      </w:divBdr>
    </w:div>
    <w:div w:id="2010668937">
      <w:bodyDiv w:val="1"/>
      <w:marLeft w:val="0"/>
      <w:marRight w:val="0"/>
      <w:marTop w:val="0"/>
      <w:marBottom w:val="0"/>
      <w:divBdr>
        <w:top w:val="none" w:sz="0" w:space="0" w:color="auto"/>
        <w:left w:val="none" w:sz="0" w:space="0" w:color="auto"/>
        <w:bottom w:val="none" w:sz="0" w:space="0" w:color="auto"/>
        <w:right w:val="none" w:sz="0" w:space="0" w:color="auto"/>
      </w:divBdr>
    </w:div>
    <w:div w:id="2102800982">
      <w:bodyDiv w:val="1"/>
      <w:marLeft w:val="0"/>
      <w:marRight w:val="0"/>
      <w:marTop w:val="0"/>
      <w:marBottom w:val="0"/>
      <w:divBdr>
        <w:top w:val="none" w:sz="0" w:space="0" w:color="auto"/>
        <w:left w:val="none" w:sz="0" w:space="0" w:color="auto"/>
        <w:bottom w:val="none" w:sz="0" w:space="0" w:color="auto"/>
        <w:right w:val="none" w:sz="0" w:space="0" w:color="auto"/>
      </w:divBdr>
    </w:div>
    <w:div w:id="21157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628C-0E8F-4F1E-83F3-0B7A249D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399</Words>
  <Characters>2279</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Construction of New 380/115KV S/S at Khursaniyah (Abu Hadriyah)</vt:lpstr>
      <vt:lpstr>Construction of New 380/115KV S/S at Khursaniyah (Abu Hadriyah)</vt:lpstr>
    </vt:vector>
  </TitlesOfParts>
  <Company>SCECO_East</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of New 380/115KV S/S at Khursaniyah (Abu Hadriyah)</dc:title>
  <dc:creator>d4avc</dc:creator>
  <cp:lastModifiedBy>Venkatesh Karri {वेंकटेश कर्री}</cp:lastModifiedBy>
  <cp:revision>15</cp:revision>
  <cp:lastPrinted>2017-06-08T05:09:00Z</cp:lastPrinted>
  <dcterms:created xsi:type="dcterms:W3CDTF">2021-04-15T09:31:00Z</dcterms:created>
  <dcterms:modified xsi:type="dcterms:W3CDTF">2021-04-19T10:19:00Z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