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43F55E7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763B05">
        <w:rPr>
          <w:rFonts w:ascii="Arial" w:hAnsi="Arial" w:cs="Arial"/>
          <w:b/>
          <w:bCs/>
          <w:sz w:val="20"/>
        </w:rPr>
        <w:t>8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763B05">
        <w:rPr>
          <w:rFonts w:ascii="Arial" w:hAnsi="Arial" w:cs="Arial"/>
          <w:b/>
          <w:bCs/>
          <w:sz w:val="20"/>
        </w:rPr>
        <w:t>05</w:t>
      </w:r>
      <w:r w:rsidR="00733FC5">
        <w:rPr>
          <w:rFonts w:ascii="Arial" w:hAnsi="Arial" w:cs="Arial"/>
          <w:b/>
          <w:bCs/>
          <w:sz w:val="20"/>
        </w:rPr>
        <w:t>/</w:t>
      </w:r>
      <w:r w:rsidR="00763B05">
        <w:rPr>
          <w:rFonts w:ascii="Arial" w:hAnsi="Arial" w:cs="Arial"/>
          <w:b/>
          <w:bCs/>
          <w:sz w:val="20"/>
          <w:lang w:val="en-IN"/>
        </w:rPr>
        <w:t>01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763B05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</w:t>
      </w:r>
      <w:proofErr w:type="spellStart"/>
      <w:r w:rsidR="00697C96" w:rsidRPr="00697C96">
        <w:rPr>
          <w:rFonts w:ascii="Arial" w:hAnsi="Arial" w:cs="Arial"/>
          <w:sz w:val="20"/>
        </w:rPr>
        <w:t>alongwith</w:t>
      </w:r>
      <w:proofErr w:type="spellEnd"/>
      <w:r w:rsidR="00697C96" w:rsidRPr="00697C96">
        <w:rPr>
          <w:rFonts w:ascii="Arial" w:hAnsi="Arial" w:cs="Arial"/>
          <w:sz w:val="20"/>
        </w:rPr>
        <w:t xml:space="preserve"> NIT, on </w:t>
      </w:r>
      <w:proofErr w:type="spellStart"/>
      <w:r w:rsidR="00214DD4">
        <w:rPr>
          <w:rFonts w:ascii="Arial" w:hAnsi="Arial" w:cs="Arial"/>
          <w:sz w:val="20"/>
        </w:rPr>
        <w:t>GeM</w:t>
      </w:r>
      <w:proofErr w:type="spellEnd"/>
      <w:r w:rsidR="00214DD4">
        <w:rPr>
          <w:rFonts w:ascii="Arial" w:hAnsi="Arial" w:cs="Arial"/>
          <w:sz w:val="20"/>
        </w:rPr>
        <w:t xml:space="preserve">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763B05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763B05" w:rsidRDefault="00763B05" w:rsidP="00763B05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00ED7860" w:rsidR="00763B05" w:rsidRDefault="00763B05" w:rsidP="00763B05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09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C84A3EB" w:rsidR="00763B05" w:rsidRDefault="00763B05" w:rsidP="00763B05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12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763B05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763B05" w:rsidRDefault="00763B05" w:rsidP="00763B05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0B40DB64" w:rsidR="00763B05" w:rsidRDefault="00763B05" w:rsidP="00763B05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6B273160" w:rsidR="00763B05" w:rsidRDefault="00763B05" w:rsidP="00763B05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12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763B05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763B05" w:rsidRDefault="00763B05" w:rsidP="00763B05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F296B6A" w:rsidR="00763B05" w:rsidRDefault="00763B05" w:rsidP="00763B05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09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5D559B1" w:rsidR="00763B05" w:rsidRDefault="00763B05" w:rsidP="00763B05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12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40D8C4E5" w14:textId="4CCC1A6D" w:rsidR="00CC1DFA" w:rsidRDefault="00CC1DFA" w:rsidP="00ED77B9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</w:t>
      </w:r>
      <w:r>
        <w:rPr>
          <w:rFonts w:ascii="Arial" w:hAnsi="Arial" w:cs="Arial"/>
          <w:sz w:val="20"/>
        </w:rPr>
        <w:tab/>
      </w:r>
      <w:r w:rsidR="00ED77B9" w:rsidRPr="00ED77B9">
        <w:rPr>
          <w:rFonts w:ascii="Arial" w:hAnsi="Arial" w:cs="Arial"/>
          <w:b/>
          <w:bCs/>
          <w:sz w:val="20"/>
        </w:rPr>
        <w:t>Please note that, as per Amendment No. 04, the validity requirement of bid security for the subject package has been revised from 22.07.2026 to 16.</w:t>
      </w:r>
      <w:r w:rsidR="00ED77B9" w:rsidRPr="00ED77B9">
        <w:rPr>
          <w:rFonts w:ascii="Arial" w:hAnsi="Arial" w:cs="Arial"/>
          <w:b/>
          <w:bCs/>
          <w:sz w:val="20"/>
        </w:rPr>
        <w:t>09.2026. Bidders</w:t>
      </w:r>
      <w:r w:rsidR="00ED77B9" w:rsidRPr="00ED77B9">
        <w:rPr>
          <w:rFonts w:ascii="Arial" w:hAnsi="Arial" w:cs="Arial"/>
          <w:b/>
          <w:bCs/>
          <w:sz w:val="20"/>
        </w:rPr>
        <w:t xml:space="preserve"> are requested to ensure compliance with this revised validity while submitting their bids.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1D71" w14:textId="77777777" w:rsidR="00964CD5" w:rsidRDefault="00964CD5" w:rsidP="00B16323">
      <w:pPr>
        <w:spacing w:after="0" w:line="240" w:lineRule="auto"/>
      </w:pPr>
      <w:r>
        <w:separator/>
      </w:r>
    </w:p>
  </w:endnote>
  <w:endnote w:type="continuationSeparator" w:id="0">
    <w:p w14:paraId="46700E49" w14:textId="77777777" w:rsidR="00964CD5" w:rsidRDefault="00964CD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A5D6" w14:textId="77777777" w:rsidR="00964CD5" w:rsidRDefault="00964CD5" w:rsidP="00B16323">
      <w:pPr>
        <w:spacing w:after="0" w:line="240" w:lineRule="auto"/>
      </w:pPr>
      <w:r>
        <w:separator/>
      </w:r>
    </w:p>
  </w:footnote>
  <w:footnote w:type="continuationSeparator" w:id="0">
    <w:p w14:paraId="43043509" w14:textId="77777777" w:rsidR="00964CD5" w:rsidRDefault="00964CD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3B05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64CD5"/>
    <w:rsid w:val="00982566"/>
    <w:rsid w:val="009877F1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C1DFA"/>
    <w:rsid w:val="00CD0B37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D77B9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1402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43</cp:revision>
  <cp:lastPrinted>2021-09-24T04:56:00Z</cp:lastPrinted>
  <dcterms:created xsi:type="dcterms:W3CDTF">2025-04-23T06:03:00Z</dcterms:created>
  <dcterms:modified xsi:type="dcterms:W3CDTF">2026-01-05T05:28:00Z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