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072"/>
        <w:gridCol w:w="6750"/>
        <w:gridCol w:w="4741"/>
      </w:tblGrid>
      <w:tr w:rsidR="00DB4EF6" w14:paraId="002B1636" w14:textId="77777777" w:rsidTr="00750C28">
        <w:trPr>
          <w:trHeight w:val="144"/>
        </w:trPr>
        <w:tc>
          <w:tcPr>
            <w:tcW w:w="813" w:type="dxa"/>
            <w:hideMark/>
          </w:tcPr>
          <w:p w14:paraId="562676A9" w14:textId="77777777" w:rsidR="00DB4EF6" w:rsidRDefault="00DB4EF6">
            <w:pPr>
              <w:spacing w:line="144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Palatino Linotype" w:hAnsi="Palatino Linotype" w:cs="Calibri"/>
                <w:color w:val="000000"/>
                <w:sz w:val="22"/>
                <w:szCs w:val="22"/>
              </w:rPr>
              <w:t>S​l. No.</w:t>
            </w:r>
          </w:p>
        </w:tc>
        <w:tc>
          <w:tcPr>
            <w:tcW w:w="2072" w:type="dxa"/>
            <w:hideMark/>
          </w:tcPr>
          <w:p w14:paraId="1CA30C23" w14:textId="77777777" w:rsidR="00DB4EF6" w:rsidRDefault="00DB4EF6">
            <w:pPr>
              <w:spacing w:line="144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Palatino Linotype" w:hAnsi="Palatino Linotype" w:cs="Calibri"/>
                <w:color w:val="000000"/>
                <w:sz w:val="22"/>
                <w:szCs w:val="22"/>
              </w:rPr>
              <w:t>Clause ref</w:t>
            </w:r>
          </w:p>
        </w:tc>
        <w:tc>
          <w:tcPr>
            <w:tcW w:w="6750" w:type="dxa"/>
            <w:hideMark/>
          </w:tcPr>
          <w:p w14:paraId="36154CEB" w14:textId="77777777" w:rsidR="00DB4EF6" w:rsidRDefault="00DB4EF6">
            <w:pPr>
              <w:spacing w:line="144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Palatino Linotype" w:hAnsi="Palatino Linotype" w:cs="Calibri"/>
                <w:color w:val="000000"/>
                <w:sz w:val="22"/>
                <w:szCs w:val="22"/>
              </w:rPr>
              <w:t>Queries asked by the bidder</w:t>
            </w:r>
          </w:p>
        </w:tc>
        <w:tc>
          <w:tcPr>
            <w:tcW w:w="4741" w:type="dxa"/>
            <w:hideMark/>
          </w:tcPr>
          <w:p w14:paraId="6A34A1AB" w14:textId="77777777" w:rsidR="00DB4EF6" w:rsidRDefault="00DB4EF6">
            <w:pPr>
              <w:spacing w:line="144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Palatino Linotype" w:hAnsi="Palatino Linotype" w:cs="Calibri"/>
                <w:color w:val="000000"/>
                <w:sz w:val="22"/>
                <w:szCs w:val="22"/>
              </w:rPr>
              <w:t>POWERGRID’s  clarification</w:t>
            </w:r>
          </w:p>
        </w:tc>
      </w:tr>
      <w:tr w:rsidR="00750C28" w14:paraId="33352F0C" w14:textId="77777777" w:rsidTr="00750C28">
        <w:tc>
          <w:tcPr>
            <w:tcW w:w="813" w:type="dxa"/>
          </w:tcPr>
          <w:p w14:paraId="0FFFB71D" w14:textId="0A7D3968" w:rsidR="00750C28" w:rsidRPr="00DB4EF6" w:rsidRDefault="00750C28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2072" w:type="dxa"/>
          </w:tcPr>
          <w:p w14:paraId="50469E72" w14:textId="77777777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>Volume II,</w:t>
            </w:r>
          </w:p>
          <w:p w14:paraId="40396690" w14:textId="2C560CB6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>
              <w:t xml:space="preserve">Section </w:t>
            </w:r>
            <w:r w:rsidRPr="00A83E7E">
              <w:t>II,</w:t>
            </w:r>
          </w:p>
          <w:p w14:paraId="131A819B" w14:textId="17EA53EC" w:rsidR="00750C28" w:rsidRPr="00750C28" w:rsidRDefault="00750C28" w:rsidP="00750C28">
            <w:pPr>
              <w:jc w:val="both"/>
            </w:pPr>
            <w:r w:rsidRPr="00A83E7E">
              <w:t xml:space="preserve">Clause </w:t>
            </w:r>
            <w:r>
              <w:t>1.1.3</w:t>
            </w:r>
          </w:p>
        </w:tc>
        <w:tc>
          <w:tcPr>
            <w:tcW w:w="6750" w:type="dxa"/>
          </w:tcPr>
          <w:p w14:paraId="1D016BA7" w14:textId="1121A8CC" w:rsidR="00750C28" w:rsidRPr="00DB4EF6" w:rsidRDefault="00750C28" w:rsidP="00BF5F24">
            <w:pPr>
              <w:autoSpaceDE w:val="0"/>
              <w:autoSpaceDN w:val="0"/>
              <w:adjustRightInd w:val="0"/>
              <w:jc w:val="both"/>
            </w:pPr>
            <w:r w:rsidRPr="008F444A">
              <w:rPr>
                <w:color w:val="000000" w:themeColor="text1"/>
              </w:rPr>
              <w:t>Indicative length of composite post insulator is 3350 mm. is it permitted to join 2 insulators to meet the length requirement? If 2 insulators are joined, Corona Rin</w:t>
            </w:r>
            <w:bookmarkStart w:id="0" w:name="_GoBack"/>
            <w:bookmarkEnd w:id="0"/>
            <w:r w:rsidRPr="008F444A">
              <w:rPr>
                <w:color w:val="000000" w:themeColor="text1"/>
              </w:rPr>
              <w:t>g configuration details is required.</w:t>
            </w:r>
          </w:p>
        </w:tc>
        <w:tc>
          <w:tcPr>
            <w:tcW w:w="4741" w:type="dxa"/>
            <w:hideMark/>
          </w:tcPr>
          <w:p w14:paraId="5A5B63DC" w14:textId="123629C7" w:rsidR="007B2C84" w:rsidRDefault="00DD7DEF" w:rsidP="007B2C84">
            <w:pPr>
              <w:autoSpaceDE w:val="0"/>
              <w:autoSpaceDN w:val="0"/>
              <w:adjustRightInd w:val="0"/>
              <w:ind w:left="62" w:right="205"/>
              <w:jc w:val="both"/>
            </w:pPr>
            <w:r>
              <w:t xml:space="preserve">Bidder may refer clause 1.1.3, Section-II of the technical specification which indicates the no. of individual units per string </w:t>
            </w:r>
            <w:r w:rsidR="007B2C84">
              <w:t xml:space="preserve">for brace and post insulator. </w:t>
            </w:r>
          </w:p>
          <w:p w14:paraId="3A22ACA1" w14:textId="77777777" w:rsidR="00750C28" w:rsidRDefault="007B2C84" w:rsidP="007B2C84">
            <w:pPr>
              <w:autoSpaceDE w:val="0"/>
              <w:autoSpaceDN w:val="0"/>
              <w:adjustRightInd w:val="0"/>
              <w:ind w:left="62" w:right="205"/>
              <w:jc w:val="both"/>
            </w:pPr>
            <w:r>
              <w:t>It is clarified that 2 insulators joined to meet the required length is not permitted.</w:t>
            </w:r>
          </w:p>
          <w:p w14:paraId="424A308B" w14:textId="5DE876CE" w:rsidR="00C2140B" w:rsidRPr="00DB4EF6" w:rsidRDefault="00C2140B" w:rsidP="007B2C84">
            <w:pPr>
              <w:autoSpaceDE w:val="0"/>
              <w:autoSpaceDN w:val="0"/>
              <w:adjustRightInd w:val="0"/>
              <w:ind w:left="62" w:right="205"/>
              <w:jc w:val="both"/>
            </w:pPr>
          </w:p>
        </w:tc>
      </w:tr>
      <w:tr w:rsidR="00750C28" w14:paraId="737DF32A" w14:textId="77777777" w:rsidTr="00750C28">
        <w:trPr>
          <w:trHeight w:val="144"/>
        </w:trPr>
        <w:tc>
          <w:tcPr>
            <w:tcW w:w="813" w:type="dxa"/>
          </w:tcPr>
          <w:p w14:paraId="4F595E32" w14:textId="010FF079" w:rsidR="00750C28" w:rsidRPr="00DB4EF6" w:rsidRDefault="00750C28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2072" w:type="dxa"/>
          </w:tcPr>
          <w:p w14:paraId="11C1D4DA" w14:textId="77777777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>Volume II,</w:t>
            </w:r>
          </w:p>
          <w:p w14:paraId="540F7255" w14:textId="77777777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>
              <w:t xml:space="preserve">Section </w:t>
            </w:r>
            <w:r w:rsidRPr="00A83E7E">
              <w:t>II,</w:t>
            </w:r>
          </w:p>
          <w:p w14:paraId="327F8772" w14:textId="37EBF5F6" w:rsidR="00750C28" w:rsidRPr="00BF5F24" w:rsidRDefault="00750C28" w:rsidP="00750C28">
            <w:r w:rsidRPr="00A83E7E">
              <w:t xml:space="preserve">Clause </w:t>
            </w:r>
            <w:r>
              <w:t>1.4.9, Table-I</w:t>
            </w:r>
          </w:p>
        </w:tc>
        <w:tc>
          <w:tcPr>
            <w:tcW w:w="6750" w:type="dxa"/>
          </w:tcPr>
          <w:p w14:paraId="617BEDBD" w14:textId="53554604" w:rsidR="00750C28" w:rsidRPr="00BF5F24" w:rsidRDefault="00750C28" w:rsidP="00BF5F24">
            <w:pPr>
              <w:spacing w:line="276" w:lineRule="auto"/>
              <w:ind w:left="14" w:right="89"/>
              <w:jc w:val="both"/>
              <w:rPr>
                <w:rFonts w:cs="Calibri"/>
                <w:lang w:val="en-IN" w:eastAsia="en-IN"/>
              </w:rPr>
            </w:pPr>
            <w:r w:rsidRPr="008F444A">
              <w:rPr>
                <w:color w:val="000000" w:themeColor="text1"/>
              </w:rPr>
              <w:t>It is indicated that End fitting components are to be made of cast steel. Is it cast steel or SGI? Again, EN-10083 is the reference standard. This standard is for steel rounds.</w:t>
            </w:r>
          </w:p>
        </w:tc>
        <w:tc>
          <w:tcPr>
            <w:tcW w:w="4741" w:type="dxa"/>
          </w:tcPr>
          <w:p w14:paraId="770D8607" w14:textId="77777777" w:rsidR="00750C28" w:rsidRDefault="009455EB" w:rsidP="009B6CEF">
            <w:pPr>
              <w:autoSpaceDE w:val="0"/>
              <w:autoSpaceDN w:val="0"/>
              <w:adjustRightInd w:val="0"/>
              <w:ind w:left="62" w:right="205"/>
              <w:jc w:val="both"/>
            </w:pPr>
            <w:r>
              <w:t xml:space="preserve">Bidder may refer Table-1 at clause 1.4.9, Section-II of the technical specification wherein </w:t>
            </w:r>
            <w:r w:rsidR="00984FB7">
              <w:t xml:space="preserve">use of specified grades of cast steel for end fittings have been permitted. However, </w:t>
            </w:r>
            <w:r>
              <w:t xml:space="preserve">SGI is not permitted. </w:t>
            </w:r>
          </w:p>
          <w:p w14:paraId="6A5C56E1" w14:textId="4BB843CA" w:rsidR="00C2140B" w:rsidRPr="00775AD3" w:rsidRDefault="00C2140B" w:rsidP="009B6CEF">
            <w:pPr>
              <w:autoSpaceDE w:val="0"/>
              <w:autoSpaceDN w:val="0"/>
              <w:adjustRightInd w:val="0"/>
              <w:ind w:left="62" w:right="205"/>
              <w:jc w:val="both"/>
            </w:pPr>
          </w:p>
        </w:tc>
      </w:tr>
      <w:tr w:rsidR="00750C28" w14:paraId="4E5CEB1B" w14:textId="77777777" w:rsidTr="00750C28">
        <w:trPr>
          <w:trHeight w:val="144"/>
        </w:trPr>
        <w:tc>
          <w:tcPr>
            <w:tcW w:w="813" w:type="dxa"/>
          </w:tcPr>
          <w:p w14:paraId="69EA8B52" w14:textId="77777777" w:rsidR="00750C28" w:rsidRPr="00DB4EF6" w:rsidRDefault="00750C28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2072" w:type="dxa"/>
          </w:tcPr>
          <w:p w14:paraId="793A7F0F" w14:textId="77777777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>Volume II,</w:t>
            </w:r>
          </w:p>
          <w:p w14:paraId="5429547D" w14:textId="77777777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>
              <w:t xml:space="preserve">Section </w:t>
            </w:r>
            <w:r w:rsidRPr="00A83E7E">
              <w:t>II,</w:t>
            </w:r>
          </w:p>
          <w:p w14:paraId="65EFAC5E" w14:textId="3A6616E7" w:rsidR="00750C28" w:rsidRPr="00BF5F24" w:rsidRDefault="00750C28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 xml:space="preserve">Clause </w:t>
            </w:r>
            <w:r>
              <w:t>4.4 (b)</w:t>
            </w:r>
          </w:p>
        </w:tc>
        <w:tc>
          <w:tcPr>
            <w:tcW w:w="6750" w:type="dxa"/>
          </w:tcPr>
          <w:p w14:paraId="36B47B59" w14:textId="5DB4391B" w:rsidR="00750C28" w:rsidRPr="008F444A" w:rsidRDefault="00750C28" w:rsidP="00BF5F24">
            <w:pPr>
              <w:spacing w:line="276" w:lineRule="auto"/>
              <w:ind w:left="14" w:right="89"/>
              <w:jc w:val="both"/>
              <w:rPr>
                <w:color w:val="000000" w:themeColor="text1"/>
              </w:rPr>
            </w:pPr>
            <w:r w:rsidRPr="008F444A">
              <w:rPr>
                <w:color w:val="000000" w:themeColor="text1"/>
              </w:rPr>
              <w:t>Use of malleable casting is mentioned in this clause. Please let us know which component can be made of malleable castings?</w:t>
            </w:r>
          </w:p>
        </w:tc>
        <w:tc>
          <w:tcPr>
            <w:tcW w:w="4741" w:type="dxa"/>
          </w:tcPr>
          <w:p w14:paraId="2DB83A47" w14:textId="77777777" w:rsidR="00750C28" w:rsidRDefault="00B44752" w:rsidP="00BF5F24">
            <w:pPr>
              <w:autoSpaceDE w:val="0"/>
              <w:autoSpaceDN w:val="0"/>
              <w:adjustRightInd w:val="0"/>
              <w:ind w:left="62" w:right="205"/>
              <w:jc w:val="both"/>
            </w:pPr>
            <w:r>
              <w:t>Bidder may refer Table-1 at clause 1.4.9, Section-II of the technical specification regarding permissible material grade for various items. It is clarified that malleable castings is not permitted.</w:t>
            </w:r>
          </w:p>
          <w:p w14:paraId="44ECE012" w14:textId="76978437" w:rsidR="00C2140B" w:rsidRPr="00775AD3" w:rsidRDefault="00C2140B" w:rsidP="00BF5F24">
            <w:pPr>
              <w:autoSpaceDE w:val="0"/>
              <w:autoSpaceDN w:val="0"/>
              <w:adjustRightInd w:val="0"/>
              <w:ind w:left="62" w:right="205"/>
              <w:jc w:val="both"/>
            </w:pPr>
          </w:p>
        </w:tc>
      </w:tr>
      <w:tr w:rsidR="00750C28" w14:paraId="4B4F6898" w14:textId="77777777" w:rsidTr="00750C28">
        <w:trPr>
          <w:trHeight w:val="144"/>
        </w:trPr>
        <w:tc>
          <w:tcPr>
            <w:tcW w:w="813" w:type="dxa"/>
          </w:tcPr>
          <w:p w14:paraId="40F92B18" w14:textId="77777777" w:rsidR="00750C28" w:rsidRPr="00DB4EF6" w:rsidRDefault="00750C28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2072" w:type="dxa"/>
          </w:tcPr>
          <w:p w14:paraId="4233809C" w14:textId="77777777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>Volume II,</w:t>
            </w:r>
          </w:p>
          <w:p w14:paraId="4CD9BD35" w14:textId="44D87F75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>
              <w:t xml:space="preserve">Section </w:t>
            </w:r>
            <w:r w:rsidRPr="00A83E7E">
              <w:t>II,</w:t>
            </w:r>
            <w:r>
              <w:t xml:space="preserve"> </w:t>
            </w:r>
            <w:r w:rsidRPr="00A83E7E">
              <w:t xml:space="preserve">Clause </w:t>
            </w:r>
            <w:r>
              <w:t>1.1.3</w:t>
            </w:r>
          </w:p>
          <w:p w14:paraId="31F704AC" w14:textId="77777777" w:rsidR="00750C28" w:rsidRPr="00BF5F24" w:rsidRDefault="00750C28" w:rsidP="00DB4E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50" w:type="dxa"/>
          </w:tcPr>
          <w:p w14:paraId="6C7B02DD" w14:textId="406C59D9" w:rsidR="00750C28" w:rsidRPr="008F444A" w:rsidRDefault="00750C28" w:rsidP="00BF5F24">
            <w:pPr>
              <w:spacing w:line="276" w:lineRule="auto"/>
              <w:ind w:left="14" w:right="89"/>
              <w:jc w:val="both"/>
              <w:rPr>
                <w:color w:val="000000" w:themeColor="text1"/>
              </w:rPr>
            </w:pPr>
            <w:r w:rsidRPr="008F444A">
              <w:rPr>
                <w:color w:val="000000" w:themeColor="text1"/>
              </w:rPr>
              <w:t>Indicative length of composite post insulator is 3350 mm. if it is  permitted to join 2 insulators to meet the length requirement ,then what is the load requirement on the each of the insulator ?.</w:t>
            </w:r>
          </w:p>
        </w:tc>
        <w:tc>
          <w:tcPr>
            <w:tcW w:w="4741" w:type="dxa"/>
          </w:tcPr>
          <w:p w14:paraId="4629C3F5" w14:textId="08AF7A40" w:rsidR="00750C28" w:rsidRPr="00775AD3" w:rsidRDefault="00B44752" w:rsidP="00BF5F24">
            <w:pPr>
              <w:autoSpaceDE w:val="0"/>
              <w:autoSpaceDN w:val="0"/>
              <w:adjustRightInd w:val="0"/>
              <w:ind w:left="62" w:right="205"/>
              <w:jc w:val="both"/>
            </w:pPr>
            <w:r>
              <w:t>Pls refer Clarification at Sl no.1 above.</w:t>
            </w:r>
          </w:p>
        </w:tc>
      </w:tr>
      <w:tr w:rsidR="00750C28" w14:paraId="14981826" w14:textId="77777777" w:rsidTr="00750C28">
        <w:trPr>
          <w:trHeight w:val="144"/>
        </w:trPr>
        <w:tc>
          <w:tcPr>
            <w:tcW w:w="813" w:type="dxa"/>
          </w:tcPr>
          <w:p w14:paraId="6CFB2DE2" w14:textId="77777777" w:rsidR="00750C28" w:rsidRPr="00DB4EF6" w:rsidRDefault="00750C28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2072" w:type="dxa"/>
          </w:tcPr>
          <w:p w14:paraId="230F3863" w14:textId="77777777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>Volume II,</w:t>
            </w:r>
          </w:p>
          <w:p w14:paraId="19F2E989" w14:textId="77777777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>
              <w:t xml:space="preserve">Section </w:t>
            </w:r>
            <w:r w:rsidRPr="00A83E7E">
              <w:t>II,</w:t>
            </w:r>
            <w:r>
              <w:t xml:space="preserve"> </w:t>
            </w:r>
            <w:r w:rsidRPr="00A83E7E">
              <w:t xml:space="preserve">Clause </w:t>
            </w:r>
            <w:r>
              <w:t>1.1.3</w:t>
            </w:r>
          </w:p>
          <w:p w14:paraId="7B1C1B5A" w14:textId="77777777" w:rsidR="00750C28" w:rsidRPr="00BF5F24" w:rsidRDefault="00750C28" w:rsidP="00DB4E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50" w:type="dxa"/>
          </w:tcPr>
          <w:p w14:paraId="00524D67" w14:textId="29E3236D" w:rsidR="00750C28" w:rsidRPr="008F444A" w:rsidRDefault="00750C28" w:rsidP="00BF5F24">
            <w:pPr>
              <w:spacing w:line="276" w:lineRule="auto"/>
              <w:ind w:left="14" w:right="89"/>
              <w:jc w:val="both"/>
              <w:rPr>
                <w:color w:val="000000" w:themeColor="text1"/>
              </w:rPr>
            </w:pPr>
            <w:r w:rsidRPr="008F444A">
              <w:rPr>
                <w:color w:val="000000" w:themeColor="text1"/>
              </w:rPr>
              <w:t>If Post Insulator of length 3350mm is formed with 1 Insulator, then we assume the Tensile load requ</w:t>
            </w:r>
            <w:r>
              <w:rPr>
                <w:color w:val="000000" w:themeColor="text1"/>
              </w:rPr>
              <w:t>irement is 240KN, Is it correct</w:t>
            </w:r>
            <w:r w:rsidRPr="008F444A">
              <w:rPr>
                <w:color w:val="000000" w:themeColor="text1"/>
              </w:rPr>
              <w:t>? Alternatively we presume if 2 strings having length of 3350  each used ,then in that case load requirement on each of these strings is 120KN instead of 240KN.</w:t>
            </w:r>
          </w:p>
        </w:tc>
        <w:tc>
          <w:tcPr>
            <w:tcW w:w="4741" w:type="dxa"/>
          </w:tcPr>
          <w:p w14:paraId="5B77C0BB" w14:textId="77777777" w:rsidR="00750C28" w:rsidRDefault="000725B8" w:rsidP="009B6CEF">
            <w:pPr>
              <w:autoSpaceDE w:val="0"/>
              <w:autoSpaceDN w:val="0"/>
              <w:adjustRightInd w:val="0"/>
              <w:ind w:left="62" w:right="205"/>
              <w:jc w:val="both"/>
            </w:pPr>
            <w:r>
              <w:t>Bidders understa</w:t>
            </w:r>
            <w:r w:rsidR="00C917B5">
              <w:t>nding</w:t>
            </w:r>
            <w:r>
              <w:t xml:space="preserve"> is correct</w:t>
            </w:r>
            <w:r w:rsidR="00960310">
              <w:t>.</w:t>
            </w:r>
            <w:r>
              <w:t xml:space="preserve"> </w:t>
            </w:r>
            <w:r w:rsidR="00960310">
              <w:t>F</w:t>
            </w:r>
            <w:r>
              <w:t>urther, b</w:t>
            </w:r>
            <w:r w:rsidR="00EA5053">
              <w:t xml:space="preserve">idder may refer clause 1.1.3, Section-II of the technical specification indicating </w:t>
            </w:r>
            <w:r w:rsidR="007F2AF4">
              <w:t xml:space="preserve">the </w:t>
            </w:r>
            <w:r w:rsidR="00EA5053">
              <w:t>electro mechanical strength</w:t>
            </w:r>
            <w:r w:rsidR="007F2AF4">
              <w:t xml:space="preserve">s of individual insulator units for 2x1 and 1x1 arrangement for post insulator.  </w:t>
            </w:r>
            <w:r w:rsidR="00EA5053">
              <w:t xml:space="preserve"> </w:t>
            </w:r>
          </w:p>
          <w:p w14:paraId="18CD6DDC" w14:textId="77777777" w:rsidR="00C2140B" w:rsidRDefault="00C2140B" w:rsidP="009B6CEF">
            <w:pPr>
              <w:autoSpaceDE w:val="0"/>
              <w:autoSpaceDN w:val="0"/>
              <w:adjustRightInd w:val="0"/>
              <w:ind w:left="62" w:right="205"/>
              <w:jc w:val="both"/>
            </w:pPr>
          </w:p>
          <w:p w14:paraId="707005B6" w14:textId="2D6863E7" w:rsidR="00C2140B" w:rsidRPr="00775AD3" w:rsidRDefault="00C2140B" w:rsidP="009B6CEF">
            <w:pPr>
              <w:autoSpaceDE w:val="0"/>
              <w:autoSpaceDN w:val="0"/>
              <w:adjustRightInd w:val="0"/>
              <w:ind w:left="62" w:right="205"/>
              <w:jc w:val="both"/>
            </w:pPr>
          </w:p>
        </w:tc>
      </w:tr>
      <w:tr w:rsidR="007F2AF4" w14:paraId="48B265A1" w14:textId="77777777" w:rsidTr="00750C28">
        <w:trPr>
          <w:trHeight w:val="144"/>
        </w:trPr>
        <w:tc>
          <w:tcPr>
            <w:tcW w:w="813" w:type="dxa"/>
          </w:tcPr>
          <w:p w14:paraId="4DD61EBB" w14:textId="77777777" w:rsidR="007F2AF4" w:rsidRPr="00DB4EF6" w:rsidRDefault="007F2AF4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2072" w:type="dxa"/>
          </w:tcPr>
          <w:p w14:paraId="1860C0B5" w14:textId="77777777" w:rsidR="007F2AF4" w:rsidRPr="00A83E7E" w:rsidRDefault="007F2AF4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>Volume II,</w:t>
            </w:r>
          </w:p>
          <w:p w14:paraId="2A65C4BA" w14:textId="1AA92F70" w:rsidR="007F2AF4" w:rsidRPr="00BF5F24" w:rsidRDefault="007F2AF4" w:rsidP="00DB4EF6">
            <w:pPr>
              <w:autoSpaceDE w:val="0"/>
              <w:autoSpaceDN w:val="0"/>
              <w:adjustRightInd w:val="0"/>
              <w:jc w:val="both"/>
            </w:pPr>
            <w:r>
              <w:t xml:space="preserve">Section </w:t>
            </w:r>
            <w:r w:rsidRPr="00A83E7E">
              <w:t>II,</w:t>
            </w:r>
            <w:r>
              <w:t xml:space="preserve"> </w:t>
            </w:r>
            <w:r w:rsidRPr="00A83E7E">
              <w:t xml:space="preserve">Clause </w:t>
            </w:r>
            <w:r>
              <w:t>1.1.3</w:t>
            </w:r>
          </w:p>
        </w:tc>
        <w:tc>
          <w:tcPr>
            <w:tcW w:w="6750" w:type="dxa"/>
          </w:tcPr>
          <w:p w14:paraId="1D38D06A" w14:textId="7EF1A82D" w:rsidR="007F2AF4" w:rsidRPr="008F444A" w:rsidRDefault="007F2AF4" w:rsidP="00BF5F24">
            <w:pPr>
              <w:spacing w:line="276" w:lineRule="auto"/>
              <w:ind w:left="14" w:right="89"/>
              <w:jc w:val="both"/>
              <w:rPr>
                <w:color w:val="000000" w:themeColor="text1"/>
              </w:rPr>
            </w:pPr>
            <w:r w:rsidRPr="008F444A">
              <w:rPr>
                <w:color w:val="000000" w:themeColor="text1"/>
              </w:rPr>
              <w:t>It is requested to please share the Details on fixing arrangement at the Tower end. (Drgs./schematic)</w:t>
            </w:r>
          </w:p>
        </w:tc>
        <w:tc>
          <w:tcPr>
            <w:tcW w:w="4741" w:type="dxa"/>
            <w:vMerge w:val="restart"/>
          </w:tcPr>
          <w:p w14:paraId="081EF82E" w14:textId="77777777" w:rsidR="007F2AF4" w:rsidRDefault="007F2AF4" w:rsidP="00BF5F24">
            <w:pPr>
              <w:autoSpaceDE w:val="0"/>
              <w:autoSpaceDN w:val="0"/>
              <w:adjustRightInd w:val="0"/>
              <w:ind w:left="62" w:right="205"/>
              <w:jc w:val="both"/>
            </w:pPr>
            <w:r>
              <w:t xml:space="preserve">Bidder may refer bid drawing attached with the technical specification for fixing arrangements. Further, </w:t>
            </w:r>
            <w:r w:rsidR="00984FB7">
              <w:t xml:space="preserve">based on the offered design of insulated cross arm, </w:t>
            </w:r>
            <w:r>
              <w:t xml:space="preserve">details </w:t>
            </w:r>
            <w:r w:rsidR="00984FB7">
              <w:t>of fixing arrangements shall</w:t>
            </w:r>
            <w:r>
              <w:t xml:space="preserve"> be </w:t>
            </w:r>
            <w:r w:rsidR="00984FB7">
              <w:t>finalized</w:t>
            </w:r>
            <w:r>
              <w:t xml:space="preserve"> during detailed engineering.</w:t>
            </w:r>
          </w:p>
          <w:p w14:paraId="27A038DE" w14:textId="73330A4C" w:rsidR="00C2140B" w:rsidRPr="00775AD3" w:rsidRDefault="00C2140B" w:rsidP="00BF5F24">
            <w:pPr>
              <w:autoSpaceDE w:val="0"/>
              <w:autoSpaceDN w:val="0"/>
              <w:adjustRightInd w:val="0"/>
              <w:ind w:left="62" w:right="205"/>
              <w:jc w:val="both"/>
            </w:pPr>
          </w:p>
        </w:tc>
      </w:tr>
      <w:tr w:rsidR="007F2AF4" w14:paraId="556550B9" w14:textId="77777777" w:rsidTr="00750C28">
        <w:trPr>
          <w:trHeight w:val="144"/>
        </w:trPr>
        <w:tc>
          <w:tcPr>
            <w:tcW w:w="813" w:type="dxa"/>
          </w:tcPr>
          <w:p w14:paraId="433A47B3" w14:textId="77777777" w:rsidR="007F2AF4" w:rsidRPr="00DB4EF6" w:rsidRDefault="007F2AF4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2072" w:type="dxa"/>
          </w:tcPr>
          <w:p w14:paraId="6A8B7E5E" w14:textId="77777777" w:rsidR="007F2AF4" w:rsidRPr="00A83E7E" w:rsidRDefault="007F2AF4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>Volume II,</w:t>
            </w:r>
          </w:p>
          <w:p w14:paraId="2DDD7CF7" w14:textId="678DA14B" w:rsidR="007F2AF4" w:rsidRPr="00BF5F24" w:rsidRDefault="007F2AF4" w:rsidP="00DB4EF6">
            <w:pPr>
              <w:autoSpaceDE w:val="0"/>
              <w:autoSpaceDN w:val="0"/>
              <w:adjustRightInd w:val="0"/>
              <w:jc w:val="both"/>
            </w:pPr>
            <w:r>
              <w:t xml:space="preserve">Section </w:t>
            </w:r>
            <w:r w:rsidRPr="00A83E7E">
              <w:t>II,</w:t>
            </w:r>
            <w:r>
              <w:t xml:space="preserve"> </w:t>
            </w:r>
            <w:r w:rsidRPr="00A83E7E">
              <w:t xml:space="preserve">Clause </w:t>
            </w:r>
            <w:r>
              <w:t>1.1.3</w:t>
            </w:r>
          </w:p>
        </w:tc>
        <w:tc>
          <w:tcPr>
            <w:tcW w:w="6750" w:type="dxa"/>
          </w:tcPr>
          <w:p w14:paraId="250FC887" w14:textId="2AD6B209" w:rsidR="007F2AF4" w:rsidRPr="008F444A" w:rsidRDefault="007F2AF4" w:rsidP="00BF5F24">
            <w:pPr>
              <w:spacing w:line="276" w:lineRule="auto"/>
              <w:ind w:left="14" w:right="89"/>
              <w:jc w:val="both"/>
              <w:rPr>
                <w:color w:val="000000" w:themeColor="text1"/>
              </w:rPr>
            </w:pPr>
            <w:r w:rsidRPr="008F444A">
              <w:rPr>
                <w:color w:val="000000" w:themeColor="text1"/>
              </w:rPr>
              <w:t>It is requested to please share PCD/Hole Pitch of connecting Flange at the tower end and Hardware fitting dimensions.</w:t>
            </w:r>
          </w:p>
        </w:tc>
        <w:tc>
          <w:tcPr>
            <w:tcW w:w="4741" w:type="dxa"/>
            <w:vMerge/>
          </w:tcPr>
          <w:p w14:paraId="698CB0BE" w14:textId="77777777" w:rsidR="007F2AF4" w:rsidRPr="00775AD3" w:rsidRDefault="007F2AF4" w:rsidP="00BF5F24">
            <w:pPr>
              <w:autoSpaceDE w:val="0"/>
              <w:autoSpaceDN w:val="0"/>
              <w:adjustRightInd w:val="0"/>
              <w:ind w:left="62" w:right="205"/>
              <w:jc w:val="both"/>
            </w:pPr>
          </w:p>
        </w:tc>
      </w:tr>
      <w:tr w:rsidR="00CE7B17" w14:paraId="03F6D09F" w14:textId="77777777" w:rsidTr="00750C28">
        <w:trPr>
          <w:trHeight w:val="144"/>
        </w:trPr>
        <w:tc>
          <w:tcPr>
            <w:tcW w:w="813" w:type="dxa"/>
          </w:tcPr>
          <w:p w14:paraId="13D9FC68" w14:textId="77777777" w:rsidR="00CE7B17" w:rsidRPr="00DB4EF6" w:rsidRDefault="00CE7B17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2072" w:type="dxa"/>
          </w:tcPr>
          <w:p w14:paraId="1DE6C433" w14:textId="77777777" w:rsidR="00CE7B17" w:rsidRPr="00A83E7E" w:rsidRDefault="00CE7B17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>Volume II,</w:t>
            </w:r>
          </w:p>
          <w:p w14:paraId="2CB4D34F" w14:textId="3F71B0A2" w:rsidR="00CE7B17" w:rsidRPr="00BF5F24" w:rsidRDefault="00CE7B17" w:rsidP="00DB4EF6">
            <w:pPr>
              <w:autoSpaceDE w:val="0"/>
              <w:autoSpaceDN w:val="0"/>
              <w:adjustRightInd w:val="0"/>
              <w:jc w:val="both"/>
            </w:pPr>
            <w:r>
              <w:t xml:space="preserve">Section </w:t>
            </w:r>
            <w:r w:rsidRPr="00A83E7E">
              <w:t>II,</w:t>
            </w:r>
            <w:r>
              <w:t xml:space="preserve"> </w:t>
            </w:r>
            <w:r w:rsidRPr="00A83E7E">
              <w:t xml:space="preserve">Clause </w:t>
            </w:r>
            <w:r>
              <w:t>1.1.3</w:t>
            </w:r>
          </w:p>
        </w:tc>
        <w:tc>
          <w:tcPr>
            <w:tcW w:w="6750" w:type="dxa"/>
          </w:tcPr>
          <w:p w14:paraId="301B5A03" w14:textId="2EAE17FD" w:rsidR="00CE7B17" w:rsidRPr="008F444A" w:rsidRDefault="00CE7B17" w:rsidP="00BF5F24">
            <w:pPr>
              <w:spacing w:line="276" w:lineRule="auto"/>
              <w:ind w:left="14" w:right="89"/>
              <w:jc w:val="both"/>
              <w:rPr>
                <w:color w:val="000000" w:themeColor="text1"/>
              </w:rPr>
            </w:pPr>
            <w:r w:rsidRPr="008F444A">
              <w:rPr>
                <w:color w:val="000000" w:themeColor="text1"/>
              </w:rPr>
              <w:t>It is requested to please share Photos on End fittings/Couplings ,Grading Rings, Hardware fittings are required</w:t>
            </w:r>
          </w:p>
        </w:tc>
        <w:tc>
          <w:tcPr>
            <w:tcW w:w="4741" w:type="dxa"/>
            <w:vMerge w:val="restart"/>
          </w:tcPr>
          <w:p w14:paraId="045921B3" w14:textId="77777777" w:rsidR="00CE7B17" w:rsidRDefault="004774A0" w:rsidP="004774A0">
            <w:pPr>
              <w:autoSpaceDE w:val="0"/>
              <w:autoSpaceDN w:val="0"/>
              <w:adjustRightInd w:val="0"/>
              <w:ind w:left="62" w:right="205"/>
              <w:jc w:val="both"/>
            </w:pPr>
            <w:r>
              <w:t xml:space="preserve">Bidder may refer bid drawing attached with the technical specification regarding drawing/details of </w:t>
            </w:r>
            <w:r w:rsidR="00CE7B17">
              <w:t xml:space="preserve">hardware fittings </w:t>
            </w:r>
            <w:r>
              <w:t xml:space="preserve">components </w:t>
            </w:r>
            <w:r w:rsidR="00CE7B17">
              <w:t xml:space="preserve">including </w:t>
            </w:r>
            <w:r w:rsidR="00CE7B17" w:rsidRPr="007F2AF4">
              <w:t>End fittings/Couplings, Grading Rings</w:t>
            </w:r>
            <w:r w:rsidR="00CE7B17">
              <w:t xml:space="preserve"> etc</w:t>
            </w:r>
            <w:r>
              <w:t>. Design of these items</w:t>
            </w:r>
            <w:r w:rsidR="00CE7B17">
              <w:t xml:space="preserve"> is in the scope of the Contractor. </w:t>
            </w:r>
          </w:p>
          <w:p w14:paraId="2458F68A" w14:textId="1CF1D3DA" w:rsidR="00C2140B" w:rsidRPr="00775AD3" w:rsidRDefault="00C2140B" w:rsidP="004774A0">
            <w:pPr>
              <w:autoSpaceDE w:val="0"/>
              <w:autoSpaceDN w:val="0"/>
              <w:adjustRightInd w:val="0"/>
              <w:ind w:left="62" w:right="205"/>
              <w:jc w:val="both"/>
            </w:pPr>
          </w:p>
        </w:tc>
      </w:tr>
      <w:tr w:rsidR="00CE7B17" w14:paraId="3FE0E237" w14:textId="77777777" w:rsidTr="00750C28">
        <w:trPr>
          <w:trHeight w:val="144"/>
        </w:trPr>
        <w:tc>
          <w:tcPr>
            <w:tcW w:w="813" w:type="dxa"/>
          </w:tcPr>
          <w:p w14:paraId="0A0CE18C" w14:textId="77777777" w:rsidR="00CE7B17" w:rsidRPr="00DB4EF6" w:rsidRDefault="00CE7B17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2072" w:type="dxa"/>
          </w:tcPr>
          <w:p w14:paraId="0C4509F4" w14:textId="77777777" w:rsidR="00CE7B17" w:rsidRPr="00A83E7E" w:rsidRDefault="00CE7B17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>Volume II,</w:t>
            </w:r>
          </w:p>
          <w:p w14:paraId="2B355EC0" w14:textId="07921065" w:rsidR="00CE7B17" w:rsidRPr="00BF5F24" w:rsidRDefault="00CE7B17" w:rsidP="00DB4EF6">
            <w:pPr>
              <w:autoSpaceDE w:val="0"/>
              <w:autoSpaceDN w:val="0"/>
              <w:adjustRightInd w:val="0"/>
              <w:jc w:val="both"/>
            </w:pPr>
            <w:r>
              <w:t xml:space="preserve">Section </w:t>
            </w:r>
            <w:r w:rsidRPr="00A83E7E">
              <w:t>II,</w:t>
            </w:r>
            <w:r>
              <w:t xml:space="preserve"> </w:t>
            </w:r>
            <w:r w:rsidRPr="00A83E7E">
              <w:t xml:space="preserve">Clause </w:t>
            </w:r>
            <w:r>
              <w:t>1.1.3</w:t>
            </w:r>
          </w:p>
        </w:tc>
        <w:tc>
          <w:tcPr>
            <w:tcW w:w="6750" w:type="dxa"/>
          </w:tcPr>
          <w:p w14:paraId="3980A9A4" w14:textId="315333EB" w:rsidR="00CE7B17" w:rsidRPr="008F444A" w:rsidRDefault="00CE7B17" w:rsidP="00BF5F24">
            <w:pPr>
              <w:spacing w:line="276" w:lineRule="auto"/>
              <w:ind w:left="14" w:right="89"/>
              <w:jc w:val="both"/>
              <w:rPr>
                <w:color w:val="000000" w:themeColor="text1"/>
              </w:rPr>
            </w:pPr>
            <w:r w:rsidRPr="008F444A">
              <w:rPr>
                <w:color w:val="000000" w:themeColor="text1"/>
              </w:rPr>
              <w:t xml:space="preserve">It is requested to please share Drgs for End fittings/Couplings ,Grading Rings, Hardware fittings are required </w:t>
            </w:r>
          </w:p>
        </w:tc>
        <w:tc>
          <w:tcPr>
            <w:tcW w:w="4741" w:type="dxa"/>
            <w:vMerge/>
          </w:tcPr>
          <w:p w14:paraId="17F8D3C5" w14:textId="77777777" w:rsidR="00CE7B17" w:rsidRPr="00775AD3" w:rsidRDefault="00CE7B17" w:rsidP="00BF5F24">
            <w:pPr>
              <w:autoSpaceDE w:val="0"/>
              <w:autoSpaceDN w:val="0"/>
              <w:adjustRightInd w:val="0"/>
              <w:ind w:left="62" w:right="205"/>
              <w:jc w:val="both"/>
            </w:pPr>
          </w:p>
        </w:tc>
      </w:tr>
    </w:tbl>
    <w:p w14:paraId="5D465450" w14:textId="77777777" w:rsidR="00DB4EF6" w:rsidRDefault="00DB4EF6" w:rsidP="00DB4EF6">
      <w:pPr>
        <w:ind w:right="-199"/>
        <w:jc w:val="both"/>
        <w:rPr>
          <w:rStyle w:val="Strong"/>
          <w:rFonts w:ascii="Calibri" w:hAnsi="Calibri" w:cs="Calibri"/>
          <w:bCs w:val="0"/>
          <w:color w:val="000000"/>
        </w:rPr>
      </w:pPr>
    </w:p>
    <w:p w14:paraId="6E1D63BE" w14:textId="77777777" w:rsidR="00DB4EF6" w:rsidRPr="00DB4EF6" w:rsidRDefault="00DB4EF6" w:rsidP="00DB4EF6">
      <w:pPr>
        <w:ind w:right="-199"/>
        <w:jc w:val="both"/>
        <w:rPr>
          <w:rStyle w:val="Strong"/>
          <w:rFonts w:ascii="Calibri" w:hAnsi="Calibri" w:cs="Calibri"/>
          <w:bCs w:val="0"/>
          <w:color w:val="000000"/>
        </w:rPr>
      </w:pPr>
    </w:p>
    <w:p w14:paraId="47CC18F0" w14:textId="77777777" w:rsidR="00B0198A" w:rsidRPr="007E4251" w:rsidRDefault="00B0198A" w:rsidP="00A65180">
      <w:pPr>
        <w:pStyle w:val="PlainText"/>
        <w:ind w:left="1080" w:hanging="605"/>
        <w:jc w:val="both"/>
        <w:rPr>
          <w:rFonts w:ascii="Palatino Linotype" w:hAnsi="Palatino Linotype"/>
          <w:bCs/>
          <w:sz w:val="2"/>
          <w:szCs w:val="2"/>
          <w:u w:val="single"/>
        </w:rPr>
      </w:pPr>
    </w:p>
    <w:p w14:paraId="3B81B8A4" w14:textId="77777777" w:rsidR="00332FEB" w:rsidRDefault="00332FEB" w:rsidP="006609CF">
      <w:pPr>
        <w:rPr>
          <w:rFonts w:ascii="Palatino Linotype" w:hAnsi="Palatino Linotype"/>
          <w:sz w:val="22"/>
          <w:szCs w:val="22"/>
        </w:rPr>
      </w:pPr>
    </w:p>
    <w:p w14:paraId="7A95402B" w14:textId="77777777" w:rsidR="006A6B3D" w:rsidRDefault="006A6B3D" w:rsidP="006609CF">
      <w:pPr>
        <w:rPr>
          <w:rFonts w:ascii="Palatino Linotype" w:hAnsi="Palatino Linotype"/>
          <w:sz w:val="22"/>
          <w:szCs w:val="22"/>
        </w:rPr>
      </w:pPr>
    </w:p>
    <w:p w14:paraId="4ACBB498" w14:textId="77777777" w:rsidR="006A6B3D" w:rsidRDefault="006A6B3D" w:rsidP="006609CF">
      <w:pPr>
        <w:rPr>
          <w:rFonts w:ascii="Palatino Linotype" w:hAnsi="Palatino Linotype"/>
          <w:sz w:val="22"/>
          <w:szCs w:val="22"/>
        </w:rPr>
      </w:pPr>
    </w:p>
    <w:p w14:paraId="03DC188B" w14:textId="77777777" w:rsidR="006A6B3D" w:rsidRDefault="006A6B3D" w:rsidP="006609CF">
      <w:pPr>
        <w:rPr>
          <w:rFonts w:ascii="Palatino Linotype" w:hAnsi="Palatino Linotype"/>
          <w:sz w:val="22"/>
          <w:szCs w:val="22"/>
        </w:rPr>
      </w:pPr>
    </w:p>
    <w:p w14:paraId="2DA6407F" w14:textId="77777777" w:rsidR="006A6B3D" w:rsidRDefault="000041E5" w:rsidP="000041E5">
      <w:pPr>
        <w:tabs>
          <w:tab w:val="left" w:pos="12118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6C5FC6">
        <w:rPr>
          <w:rFonts w:ascii="Palatino Linotype" w:hAnsi="Palatino Linotype"/>
          <w:bCs/>
          <w:sz w:val="22"/>
          <w:szCs w:val="22"/>
          <w:u w:val="single"/>
        </w:rPr>
        <w:t xml:space="preserve"> </w:t>
      </w:r>
    </w:p>
    <w:sectPr w:rsidR="006A6B3D" w:rsidSect="004244F7">
      <w:headerReference w:type="default" r:id="rId8"/>
      <w:footerReference w:type="default" r:id="rId9"/>
      <w:pgSz w:w="16834" w:h="11909" w:orient="landscape" w:code="9"/>
      <w:pgMar w:top="993" w:right="1440" w:bottom="108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3260" w14:textId="77777777" w:rsidR="00A708BD" w:rsidRDefault="00A708BD">
      <w:r>
        <w:separator/>
      </w:r>
    </w:p>
  </w:endnote>
  <w:endnote w:type="continuationSeparator" w:id="0">
    <w:p w14:paraId="2BC2E17A" w14:textId="77777777" w:rsidR="00A708BD" w:rsidRDefault="00A7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FD35C" w14:textId="53E21106" w:rsidR="00C2140B" w:rsidRDefault="00C2140B" w:rsidP="00C2140B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9C174D" w:rsidRPr="009C174D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42747" w14:textId="77777777" w:rsidR="00A708BD" w:rsidRDefault="00A708BD">
      <w:r>
        <w:separator/>
      </w:r>
    </w:p>
  </w:footnote>
  <w:footnote w:type="continuationSeparator" w:id="0">
    <w:p w14:paraId="0E563A81" w14:textId="77777777" w:rsidR="00A708BD" w:rsidRDefault="00A7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A274" w14:textId="5F089221" w:rsidR="00C2140B" w:rsidRPr="00C2140B" w:rsidRDefault="00C2140B" w:rsidP="00C214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ind w:right="180"/>
      <w:jc w:val="both"/>
      <w:rPr>
        <w:b/>
      </w:rPr>
    </w:pPr>
    <w:r w:rsidRPr="00C2140B">
      <w:rPr>
        <w:b/>
        <w:lang w:bidi="hi-IN"/>
      </w:rPr>
      <w:t xml:space="preserve">Clarification No-I dated </w:t>
    </w:r>
    <w:r w:rsidR="009C174D">
      <w:rPr>
        <w:b/>
        <w:lang w:bidi="hi-IN"/>
      </w:rPr>
      <w:t>26</w:t>
    </w:r>
    <w:r w:rsidRPr="00C2140B">
      <w:rPr>
        <w:b/>
        <w:lang w:bidi="hi-IN"/>
      </w:rPr>
      <w:t xml:space="preserve">/11/2021 </w:t>
    </w:r>
    <w:r w:rsidRPr="00C2140B">
      <w:rPr>
        <w:bCs/>
      </w:rPr>
      <w:t>to the Bidding Documents for Vendor development Package for Insulated cross arms for transmission lines upto 400kV Voltage level.</w:t>
    </w:r>
  </w:p>
  <w:p w14:paraId="3C911BD3" w14:textId="77777777" w:rsidR="00C2140B" w:rsidRPr="00C2140B" w:rsidRDefault="00C2140B" w:rsidP="00C214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ind w:right="180"/>
      <w:jc w:val="both"/>
    </w:pPr>
    <w:r w:rsidRPr="00C2140B">
      <w:t>Spec. No. : 5002001963/INSULATOR/DOM/A06-CC CS -7</w:t>
    </w:r>
  </w:p>
  <w:p w14:paraId="54BD0096" w14:textId="77777777" w:rsidR="00CE7B17" w:rsidRPr="00332FEB" w:rsidRDefault="00CE7B17" w:rsidP="00332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5D21B9"/>
    <w:multiLevelType w:val="multilevel"/>
    <w:tmpl w:val="3A345F3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B6AE8"/>
    <w:multiLevelType w:val="hybridMultilevel"/>
    <w:tmpl w:val="0ECE365E"/>
    <w:lvl w:ilvl="0" w:tplc="AFE0A088">
      <w:numFmt w:val="bullet"/>
      <w:lvlText w:val=""/>
      <w:lvlJc w:val="left"/>
      <w:pPr>
        <w:ind w:left="420" w:hanging="360"/>
      </w:pPr>
      <w:rPr>
        <w:rFonts w:ascii="Wingdings" w:eastAsiaTheme="minorHAnsi" w:hAnsi="Wingdings" w:cstheme="minorBidi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6FA296A"/>
    <w:multiLevelType w:val="hybridMultilevel"/>
    <w:tmpl w:val="EDFA3BB4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0638D"/>
    <w:multiLevelType w:val="hybridMultilevel"/>
    <w:tmpl w:val="F4E8EC0E"/>
    <w:lvl w:ilvl="0" w:tplc="BF025B82">
      <w:start w:val="1"/>
      <w:numFmt w:val="lowerRoman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2F427B7"/>
    <w:multiLevelType w:val="hybridMultilevel"/>
    <w:tmpl w:val="5CC69498"/>
    <w:lvl w:ilvl="0" w:tplc="E05A967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26362264"/>
    <w:multiLevelType w:val="hybridMultilevel"/>
    <w:tmpl w:val="62FCEBD0"/>
    <w:lvl w:ilvl="0" w:tplc="8D56BCDA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65499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C0831"/>
    <w:multiLevelType w:val="hybridMultilevel"/>
    <w:tmpl w:val="5CD023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77C83"/>
    <w:multiLevelType w:val="hybridMultilevel"/>
    <w:tmpl w:val="7A7C7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3041E4"/>
    <w:multiLevelType w:val="hybridMultilevel"/>
    <w:tmpl w:val="F9969DBE"/>
    <w:lvl w:ilvl="0" w:tplc="A1EC52DA">
      <w:start w:val="1"/>
      <w:numFmt w:val="lowerLetter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92453F1"/>
    <w:multiLevelType w:val="hybridMultilevel"/>
    <w:tmpl w:val="39B41AA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AD661E2"/>
    <w:multiLevelType w:val="hybridMultilevel"/>
    <w:tmpl w:val="CA744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492B"/>
    <w:multiLevelType w:val="multilevel"/>
    <w:tmpl w:val="9162C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883BBC"/>
    <w:multiLevelType w:val="hybridMultilevel"/>
    <w:tmpl w:val="1BB4107C"/>
    <w:lvl w:ilvl="0" w:tplc="A6C0AA7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884E3C"/>
    <w:multiLevelType w:val="hybridMultilevel"/>
    <w:tmpl w:val="970AE1DC"/>
    <w:lvl w:ilvl="0" w:tplc="0744283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43670276"/>
    <w:multiLevelType w:val="hybridMultilevel"/>
    <w:tmpl w:val="ABBCBA22"/>
    <w:lvl w:ilvl="0" w:tplc="08DAE1E4">
      <w:start w:val="1"/>
      <w:numFmt w:val="lowerRoman"/>
      <w:lvlText w:val="%1)"/>
      <w:lvlJc w:val="left"/>
      <w:pPr>
        <w:ind w:left="1146" w:hanging="720"/>
      </w:p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651A16"/>
    <w:multiLevelType w:val="hybridMultilevel"/>
    <w:tmpl w:val="7A8234D6"/>
    <w:lvl w:ilvl="0" w:tplc="DD62A0C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1993AEA"/>
    <w:multiLevelType w:val="multilevel"/>
    <w:tmpl w:val="FD94B5F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B8834BB"/>
    <w:multiLevelType w:val="hybridMultilevel"/>
    <w:tmpl w:val="4758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DEF"/>
    <w:multiLevelType w:val="hybridMultilevel"/>
    <w:tmpl w:val="28D49556"/>
    <w:lvl w:ilvl="0" w:tplc="BC4AF63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9C0029"/>
    <w:multiLevelType w:val="hybridMultilevel"/>
    <w:tmpl w:val="AC26E2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76A44"/>
    <w:multiLevelType w:val="hybridMultilevel"/>
    <w:tmpl w:val="2A76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9663F"/>
    <w:multiLevelType w:val="hybridMultilevel"/>
    <w:tmpl w:val="9E4E9694"/>
    <w:lvl w:ilvl="0" w:tplc="361EAE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C093B"/>
    <w:multiLevelType w:val="hybridMultilevel"/>
    <w:tmpl w:val="81783A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5A21"/>
    <w:multiLevelType w:val="hybridMultilevel"/>
    <w:tmpl w:val="35BCF0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57A75"/>
    <w:multiLevelType w:val="multilevel"/>
    <w:tmpl w:val="6BD0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F58B8"/>
    <w:multiLevelType w:val="hybridMultilevel"/>
    <w:tmpl w:val="8384E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3522B2"/>
    <w:multiLevelType w:val="hybridMultilevel"/>
    <w:tmpl w:val="07BC3A7E"/>
    <w:lvl w:ilvl="0" w:tplc="3C9EF3C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781D44D2"/>
    <w:multiLevelType w:val="hybridMultilevel"/>
    <w:tmpl w:val="D812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04F37"/>
    <w:multiLevelType w:val="hybridMultilevel"/>
    <w:tmpl w:val="9668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7"/>
  </w:num>
  <w:num w:numId="4">
    <w:abstractNumId w:val="11"/>
  </w:num>
  <w:num w:numId="5">
    <w:abstractNumId w:val="5"/>
  </w:num>
  <w:num w:numId="6">
    <w:abstractNumId w:val="23"/>
  </w:num>
  <w:num w:numId="7">
    <w:abstractNumId w:val="10"/>
  </w:num>
  <w:num w:numId="8">
    <w:abstractNumId w:val="6"/>
  </w:num>
  <w:num w:numId="9">
    <w:abstractNumId w:val="2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8"/>
  </w:num>
  <w:num w:numId="13">
    <w:abstractNumId w:val="13"/>
  </w:num>
  <w:num w:numId="14">
    <w:abstractNumId w:val="4"/>
  </w:num>
  <w:num w:numId="1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1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17">
    <w:abstractNumId w:val="15"/>
  </w:num>
  <w:num w:numId="18">
    <w:abstractNumId w:val="21"/>
  </w:num>
  <w:num w:numId="19">
    <w:abstractNumId w:val="1"/>
  </w:num>
  <w:num w:numId="20">
    <w:abstractNumId w:val="19"/>
  </w:num>
  <w:num w:numId="21">
    <w:abstractNumId w:val="2"/>
  </w:num>
  <w:num w:numId="22">
    <w:abstractNumId w:val="9"/>
  </w:num>
  <w:num w:numId="23">
    <w:abstractNumId w:val="27"/>
  </w:num>
  <w:num w:numId="24">
    <w:abstractNumId w:val="22"/>
  </w:num>
  <w:num w:numId="25">
    <w:abstractNumId w:val="28"/>
  </w:num>
  <w:num w:numId="26">
    <w:abstractNumId w:val="20"/>
  </w:num>
  <w:num w:numId="27">
    <w:abstractNumId w:val="2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54"/>
    <w:rsid w:val="00001EA2"/>
    <w:rsid w:val="000041E5"/>
    <w:rsid w:val="0000499F"/>
    <w:rsid w:val="000079D5"/>
    <w:rsid w:val="0001007D"/>
    <w:rsid w:val="00013E26"/>
    <w:rsid w:val="00014B34"/>
    <w:rsid w:val="00014EC8"/>
    <w:rsid w:val="00021987"/>
    <w:rsid w:val="00021CA6"/>
    <w:rsid w:val="0003339D"/>
    <w:rsid w:val="00043C18"/>
    <w:rsid w:val="000725B8"/>
    <w:rsid w:val="00090009"/>
    <w:rsid w:val="000A4613"/>
    <w:rsid w:val="000B7347"/>
    <w:rsid w:val="000B7D17"/>
    <w:rsid w:val="000C6C17"/>
    <w:rsid w:val="000E2B2C"/>
    <w:rsid w:val="000E4975"/>
    <w:rsid w:val="000F488C"/>
    <w:rsid w:val="000F7260"/>
    <w:rsid w:val="00104C7D"/>
    <w:rsid w:val="00114C1F"/>
    <w:rsid w:val="0011556B"/>
    <w:rsid w:val="00120D21"/>
    <w:rsid w:val="00136420"/>
    <w:rsid w:val="0014388F"/>
    <w:rsid w:val="0014454D"/>
    <w:rsid w:val="00156056"/>
    <w:rsid w:val="001613CA"/>
    <w:rsid w:val="00174954"/>
    <w:rsid w:val="0018313B"/>
    <w:rsid w:val="001976D5"/>
    <w:rsid w:val="001A0BC8"/>
    <w:rsid w:val="001C181D"/>
    <w:rsid w:val="001C32F7"/>
    <w:rsid w:val="001F5776"/>
    <w:rsid w:val="001F6E78"/>
    <w:rsid w:val="00240504"/>
    <w:rsid w:val="00253DE2"/>
    <w:rsid w:val="0026329A"/>
    <w:rsid w:val="00271FCF"/>
    <w:rsid w:val="002729B5"/>
    <w:rsid w:val="00276429"/>
    <w:rsid w:val="00277729"/>
    <w:rsid w:val="00285936"/>
    <w:rsid w:val="00290833"/>
    <w:rsid w:val="002946EC"/>
    <w:rsid w:val="002B6BE7"/>
    <w:rsid w:val="002C03B6"/>
    <w:rsid w:val="002C1801"/>
    <w:rsid w:val="002D031D"/>
    <w:rsid w:val="002E11F5"/>
    <w:rsid w:val="002F0B88"/>
    <w:rsid w:val="002F23F6"/>
    <w:rsid w:val="002F7479"/>
    <w:rsid w:val="003314BC"/>
    <w:rsid w:val="003323D0"/>
    <w:rsid w:val="00332FEB"/>
    <w:rsid w:val="00345706"/>
    <w:rsid w:val="0034675B"/>
    <w:rsid w:val="00347CE9"/>
    <w:rsid w:val="003627E3"/>
    <w:rsid w:val="0039150B"/>
    <w:rsid w:val="00396261"/>
    <w:rsid w:val="003A724F"/>
    <w:rsid w:val="003B070B"/>
    <w:rsid w:val="003F47F1"/>
    <w:rsid w:val="0040427F"/>
    <w:rsid w:val="0042113D"/>
    <w:rsid w:val="004244F7"/>
    <w:rsid w:val="00446184"/>
    <w:rsid w:val="004521E9"/>
    <w:rsid w:val="00461344"/>
    <w:rsid w:val="0047402A"/>
    <w:rsid w:val="00474401"/>
    <w:rsid w:val="004774A0"/>
    <w:rsid w:val="00484DD9"/>
    <w:rsid w:val="004B06C1"/>
    <w:rsid w:val="004B1D57"/>
    <w:rsid w:val="004B70D6"/>
    <w:rsid w:val="004C2C06"/>
    <w:rsid w:val="004D3CD7"/>
    <w:rsid w:val="004F0930"/>
    <w:rsid w:val="004F2616"/>
    <w:rsid w:val="004F270D"/>
    <w:rsid w:val="00515B5D"/>
    <w:rsid w:val="00553054"/>
    <w:rsid w:val="0056034C"/>
    <w:rsid w:val="00561963"/>
    <w:rsid w:val="00582340"/>
    <w:rsid w:val="005C607F"/>
    <w:rsid w:val="005C617B"/>
    <w:rsid w:val="005D2570"/>
    <w:rsid w:val="005D679F"/>
    <w:rsid w:val="005D728C"/>
    <w:rsid w:val="005D753A"/>
    <w:rsid w:val="005E0989"/>
    <w:rsid w:val="005F2C66"/>
    <w:rsid w:val="0060245F"/>
    <w:rsid w:val="00635E84"/>
    <w:rsid w:val="00645848"/>
    <w:rsid w:val="00647308"/>
    <w:rsid w:val="0065770E"/>
    <w:rsid w:val="00660880"/>
    <w:rsid w:val="006609CF"/>
    <w:rsid w:val="006646C0"/>
    <w:rsid w:val="006662E7"/>
    <w:rsid w:val="00675A42"/>
    <w:rsid w:val="00681746"/>
    <w:rsid w:val="0069076F"/>
    <w:rsid w:val="006934F0"/>
    <w:rsid w:val="006A6B3D"/>
    <w:rsid w:val="006B2880"/>
    <w:rsid w:val="006C5FC6"/>
    <w:rsid w:val="006D2DF4"/>
    <w:rsid w:val="006E719D"/>
    <w:rsid w:val="006F1296"/>
    <w:rsid w:val="006F2880"/>
    <w:rsid w:val="006F3860"/>
    <w:rsid w:val="006F6E55"/>
    <w:rsid w:val="007023DC"/>
    <w:rsid w:val="00710596"/>
    <w:rsid w:val="007234F6"/>
    <w:rsid w:val="00731BED"/>
    <w:rsid w:val="00736461"/>
    <w:rsid w:val="00741656"/>
    <w:rsid w:val="007449CA"/>
    <w:rsid w:val="00747C04"/>
    <w:rsid w:val="00750C28"/>
    <w:rsid w:val="00772C27"/>
    <w:rsid w:val="00775AD3"/>
    <w:rsid w:val="00777B33"/>
    <w:rsid w:val="007811A6"/>
    <w:rsid w:val="00784AAA"/>
    <w:rsid w:val="00790EC6"/>
    <w:rsid w:val="0079122F"/>
    <w:rsid w:val="007B2C84"/>
    <w:rsid w:val="007B6DEB"/>
    <w:rsid w:val="007C70E3"/>
    <w:rsid w:val="007D167A"/>
    <w:rsid w:val="007D2C42"/>
    <w:rsid w:val="007D345E"/>
    <w:rsid w:val="007E4251"/>
    <w:rsid w:val="007F2AF4"/>
    <w:rsid w:val="007F5B6C"/>
    <w:rsid w:val="007F6F28"/>
    <w:rsid w:val="00816AFD"/>
    <w:rsid w:val="00817FF0"/>
    <w:rsid w:val="0082721C"/>
    <w:rsid w:val="00830618"/>
    <w:rsid w:val="00831871"/>
    <w:rsid w:val="0086126D"/>
    <w:rsid w:val="00865FB7"/>
    <w:rsid w:val="00873508"/>
    <w:rsid w:val="00876327"/>
    <w:rsid w:val="00890587"/>
    <w:rsid w:val="00893F5B"/>
    <w:rsid w:val="008A0F2A"/>
    <w:rsid w:val="008C0DC7"/>
    <w:rsid w:val="008C273A"/>
    <w:rsid w:val="008C3E26"/>
    <w:rsid w:val="008E0367"/>
    <w:rsid w:val="008E1C52"/>
    <w:rsid w:val="008F25B8"/>
    <w:rsid w:val="008F3ABA"/>
    <w:rsid w:val="009079F5"/>
    <w:rsid w:val="00912230"/>
    <w:rsid w:val="00931952"/>
    <w:rsid w:val="00940810"/>
    <w:rsid w:val="009412E3"/>
    <w:rsid w:val="009455EB"/>
    <w:rsid w:val="00945BE9"/>
    <w:rsid w:val="009507FC"/>
    <w:rsid w:val="00953516"/>
    <w:rsid w:val="00960310"/>
    <w:rsid w:val="00965340"/>
    <w:rsid w:val="00973350"/>
    <w:rsid w:val="00981166"/>
    <w:rsid w:val="009837CE"/>
    <w:rsid w:val="00984FB7"/>
    <w:rsid w:val="009A2521"/>
    <w:rsid w:val="009A50A6"/>
    <w:rsid w:val="009A6409"/>
    <w:rsid w:val="009B6CEF"/>
    <w:rsid w:val="009C1340"/>
    <w:rsid w:val="009C174D"/>
    <w:rsid w:val="009C2FB4"/>
    <w:rsid w:val="009D14F0"/>
    <w:rsid w:val="009D1BF8"/>
    <w:rsid w:val="009D336E"/>
    <w:rsid w:val="009E03A6"/>
    <w:rsid w:val="009E4037"/>
    <w:rsid w:val="009F01C0"/>
    <w:rsid w:val="009F075F"/>
    <w:rsid w:val="009F650B"/>
    <w:rsid w:val="00A078B5"/>
    <w:rsid w:val="00A57F71"/>
    <w:rsid w:val="00A61062"/>
    <w:rsid w:val="00A65180"/>
    <w:rsid w:val="00A66B26"/>
    <w:rsid w:val="00A66B74"/>
    <w:rsid w:val="00A702DD"/>
    <w:rsid w:val="00A708BD"/>
    <w:rsid w:val="00A804CE"/>
    <w:rsid w:val="00A83E7E"/>
    <w:rsid w:val="00AA2912"/>
    <w:rsid w:val="00AA4CF3"/>
    <w:rsid w:val="00AA79DE"/>
    <w:rsid w:val="00AB00A3"/>
    <w:rsid w:val="00AC4861"/>
    <w:rsid w:val="00AD3908"/>
    <w:rsid w:val="00AD545E"/>
    <w:rsid w:val="00AE65AB"/>
    <w:rsid w:val="00B0198A"/>
    <w:rsid w:val="00B11A55"/>
    <w:rsid w:val="00B13CC3"/>
    <w:rsid w:val="00B21C01"/>
    <w:rsid w:val="00B27B46"/>
    <w:rsid w:val="00B316CD"/>
    <w:rsid w:val="00B36DC7"/>
    <w:rsid w:val="00B42E09"/>
    <w:rsid w:val="00B44752"/>
    <w:rsid w:val="00B44FEE"/>
    <w:rsid w:val="00B55E67"/>
    <w:rsid w:val="00B7437C"/>
    <w:rsid w:val="00B904C9"/>
    <w:rsid w:val="00B921E6"/>
    <w:rsid w:val="00B9678C"/>
    <w:rsid w:val="00B977A1"/>
    <w:rsid w:val="00B97E1C"/>
    <w:rsid w:val="00BA134B"/>
    <w:rsid w:val="00BB0976"/>
    <w:rsid w:val="00BB1264"/>
    <w:rsid w:val="00BC56BA"/>
    <w:rsid w:val="00BD45E7"/>
    <w:rsid w:val="00BE0AEA"/>
    <w:rsid w:val="00BE6892"/>
    <w:rsid w:val="00BE6DCC"/>
    <w:rsid w:val="00BF5F24"/>
    <w:rsid w:val="00C20685"/>
    <w:rsid w:val="00C2140B"/>
    <w:rsid w:val="00C2392B"/>
    <w:rsid w:val="00C25340"/>
    <w:rsid w:val="00C25B8C"/>
    <w:rsid w:val="00C34154"/>
    <w:rsid w:val="00C37294"/>
    <w:rsid w:val="00C50BE5"/>
    <w:rsid w:val="00C616CC"/>
    <w:rsid w:val="00C63C6C"/>
    <w:rsid w:val="00C64265"/>
    <w:rsid w:val="00C734BF"/>
    <w:rsid w:val="00C754F6"/>
    <w:rsid w:val="00C82F8D"/>
    <w:rsid w:val="00C91659"/>
    <w:rsid w:val="00C91672"/>
    <w:rsid w:val="00C917B5"/>
    <w:rsid w:val="00C92E0A"/>
    <w:rsid w:val="00C97502"/>
    <w:rsid w:val="00CA2E3E"/>
    <w:rsid w:val="00CB69C1"/>
    <w:rsid w:val="00CC21C6"/>
    <w:rsid w:val="00CC6823"/>
    <w:rsid w:val="00CE7B17"/>
    <w:rsid w:val="00CE7B3B"/>
    <w:rsid w:val="00D068F8"/>
    <w:rsid w:val="00D16EBF"/>
    <w:rsid w:val="00D20BCD"/>
    <w:rsid w:val="00D27EB7"/>
    <w:rsid w:val="00D349A1"/>
    <w:rsid w:val="00D36B0B"/>
    <w:rsid w:val="00D41ED5"/>
    <w:rsid w:val="00D44DA7"/>
    <w:rsid w:val="00D4570F"/>
    <w:rsid w:val="00D478A5"/>
    <w:rsid w:val="00D50FF7"/>
    <w:rsid w:val="00D52AF4"/>
    <w:rsid w:val="00D547B5"/>
    <w:rsid w:val="00D600C2"/>
    <w:rsid w:val="00D609DD"/>
    <w:rsid w:val="00D648A0"/>
    <w:rsid w:val="00D700E1"/>
    <w:rsid w:val="00D75779"/>
    <w:rsid w:val="00D937E6"/>
    <w:rsid w:val="00DA0139"/>
    <w:rsid w:val="00DA67C6"/>
    <w:rsid w:val="00DB4EF6"/>
    <w:rsid w:val="00DC46D3"/>
    <w:rsid w:val="00DD7DEF"/>
    <w:rsid w:val="00DE766C"/>
    <w:rsid w:val="00E0341A"/>
    <w:rsid w:val="00E13423"/>
    <w:rsid w:val="00E14D71"/>
    <w:rsid w:val="00E1612F"/>
    <w:rsid w:val="00E27E97"/>
    <w:rsid w:val="00E40918"/>
    <w:rsid w:val="00E436E4"/>
    <w:rsid w:val="00E47621"/>
    <w:rsid w:val="00E500FD"/>
    <w:rsid w:val="00E50DC7"/>
    <w:rsid w:val="00E63A92"/>
    <w:rsid w:val="00E71536"/>
    <w:rsid w:val="00E8639F"/>
    <w:rsid w:val="00EA0FAD"/>
    <w:rsid w:val="00EA5053"/>
    <w:rsid w:val="00EA7CFF"/>
    <w:rsid w:val="00EB4B23"/>
    <w:rsid w:val="00EB5B06"/>
    <w:rsid w:val="00EB63F7"/>
    <w:rsid w:val="00ED28AB"/>
    <w:rsid w:val="00ED2D2D"/>
    <w:rsid w:val="00ED3577"/>
    <w:rsid w:val="00ED6F87"/>
    <w:rsid w:val="00EE27C0"/>
    <w:rsid w:val="00EE2EC4"/>
    <w:rsid w:val="00EE3542"/>
    <w:rsid w:val="00EE3B0F"/>
    <w:rsid w:val="00EE501E"/>
    <w:rsid w:val="00EF2415"/>
    <w:rsid w:val="00EF703F"/>
    <w:rsid w:val="00F02ECE"/>
    <w:rsid w:val="00F02FB6"/>
    <w:rsid w:val="00F031AB"/>
    <w:rsid w:val="00F113DA"/>
    <w:rsid w:val="00F11D16"/>
    <w:rsid w:val="00F13C7E"/>
    <w:rsid w:val="00F13FE8"/>
    <w:rsid w:val="00F1753E"/>
    <w:rsid w:val="00F3221F"/>
    <w:rsid w:val="00F41F8B"/>
    <w:rsid w:val="00F46301"/>
    <w:rsid w:val="00F465E9"/>
    <w:rsid w:val="00F502BB"/>
    <w:rsid w:val="00F6629F"/>
    <w:rsid w:val="00F81837"/>
    <w:rsid w:val="00FA7E79"/>
    <w:rsid w:val="00FB37BA"/>
    <w:rsid w:val="00FD1960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2AE32D"/>
  <w15:docId w15:val="{2C4542A3-DB4B-4B45-B99F-13EC57F0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F0"/>
    <w:rPr>
      <w:sz w:val="24"/>
      <w:szCs w:val="24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264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2E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EC4"/>
  </w:style>
  <w:style w:type="character" w:customStyle="1" w:styleId="grame">
    <w:name w:val="grame"/>
    <w:basedOn w:val="DefaultParagraphFont"/>
    <w:rsid w:val="007B6DEB"/>
  </w:style>
  <w:style w:type="paragraph" w:styleId="BodyText">
    <w:name w:val="Body Text"/>
    <w:basedOn w:val="Normal"/>
    <w:rsid w:val="007B6DEB"/>
    <w:pPr>
      <w:ind w:right="-900"/>
    </w:pPr>
  </w:style>
  <w:style w:type="paragraph" w:styleId="BodyTextIndent">
    <w:name w:val="Body Text Indent"/>
    <w:basedOn w:val="Normal"/>
    <w:rsid w:val="007B6DEB"/>
    <w:pPr>
      <w:spacing w:line="360" w:lineRule="auto"/>
      <w:ind w:left="720"/>
      <w:jc w:val="both"/>
    </w:pPr>
  </w:style>
  <w:style w:type="character" w:customStyle="1" w:styleId="spelle">
    <w:name w:val="spelle"/>
    <w:basedOn w:val="DefaultParagraphFont"/>
    <w:rsid w:val="007B6DEB"/>
  </w:style>
  <w:style w:type="paragraph" w:styleId="PlainText">
    <w:name w:val="Plain Text"/>
    <w:basedOn w:val="Normal"/>
    <w:rsid w:val="007B6DEB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7B6DEB"/>
    <w:pPr>
      <w:ind w:left="540" w:hanging="540"/>
      <w:jc w:val="both"/>
    </w:pPr>
  </w:style>
  <w:style w:type="paragraph" w:styleId="BalloonText">
    <w:name w:val="Balloon Text"/>
    <w:basedOn w:val="Normal"/>
    <w:semiHidden/>
    <w:rsid w:val="00E50DC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84AAA"/>
    <w:pPr>
      <w:ind w:left="720"/>
      <w:jc w:val="center"/>
      <w:outlineLvl w:val="0"/>
    </w:pPr>
    <w:rPr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BB1264"/>
    <w:rPr>
      <w:rFonts w:ascii="Calibri" w:hAnsi="Calibri" w:cs="Mangal"/>
      <w:b/>
      <w:bCs/>
      <w:i/>
      <w:i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A4613"/>
    <w:pPr>
      <w:ind w:left="720"/>
      <w:contextualSpacing/>
    </w:pPr>
  </w:style>
  <w:style w:type="paragraph" w:customStyle="1" w:styleId="Default">
    <w:name w:val="Default"/>
    <w:rsid w:val="0003339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0198A"/>
    <w:pPr>
      <w:widowControl w:val="0"/>
      <w:autoSpaceDE w:val="0"/>
      <w:autoSpaceDN w:val="0"/>
      <w:ind w:left="108"/>
    </w:pPr>
    <w:rPr>
      <w:rFonts w:ascii="Book Antiqua" w:eastAsia="Book Antiqua" w:hAnsi="Book Antiqua" w:cs="Book Antiqua"/>
      <w:sz w:val="22"/>
      <w:szCs w:val="22"/>
      <w:lang w:bidi="en-US"/>
    </w:rPr>
  </w:style>
  <w:style w:type="paragraph" w:styleId="NoSpacing">
    <w:name w:val="No Spacing"/>
    <w:uiPriority w:val="1"/>
    <w:qFormat/>
    <w:rsid w:val="005D753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normal0020tablechar">
    <w:name w:val="normal_0020table__char"/>
    <w:basedOn w:val="DefaultParagraphFont"/>
    <w:rsid w:val="0047402A"/>
  </w:style>
  <w:style w:type="character" w:styleId="Strong">
    <w:name w:val="Strong"/>
    <w:basedOn w:val="DefaultParagraphFont"/>
    <w:uiPriority w:val="22"/>
    <w:qFormat/>
    <w:rsid w:val="00DB4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6D30-8EA2-4AD9-A50E-3631FBA7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pgcil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01922</dc:creator>
  <cp:lastModifiedBy>Venkatesh Karri {वेंकटेश कर्री}</cp:lastModifiedBy>
  <cp:revision>15</cp:revision>
  <cp:lastPrinted>2020-02-18T11:10:00Z</cp:lastPrinted>
  <dcterms:created xsi:type="dcterms:W3CDTF">2020-04-15T07:22:00Z</dcterms:created>
  <dcterms:modified xsi:type="dcterms:W3CDTF">2021-11-26T09:13:00Z</dcterms:modified>
</cp:coreProperties>
</file>