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431" w:tblpY="1"/>
        <w:tblOverlap w:val="never"/>
        <w:tblW w:w="14050" w:type="dxa"/>
        <w:tblLayout w:type="fixed"/>
        <w:tblLook w:val="04A0" w:firstRow="1" w:lastRow="0" w:firstColumn="1" w:lastColumn="0" w:noHBand="0" w:noVBand="1"/>
      </w:tblPr>
      <w:tblGrid>
        <w:gridCol w:w="820"/>
        <w:gridCol w:w="1488"/>
        <w:gridCol w:w="7934"/>
        <w:gridCol w:w="3808"/>
      </w:tblGrid>
      <w:tr w:rsidR="00C5770B" w:rsidRPr="00B820C9" w14:paraId="6F35F5A4" w14:textId="77777777" w:rsidTr="00C5770B">
        <w:trPr>
          <w:trHeight w:val="61"/>
          <w:tblHead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C4E92" w14:textId="6C1957C6" w:rsidR="00C5770B" w:rsidRPr="00B820C9" w:rsidRDefault="00C5770B" w:rsidP="005034E1">
            <w:pPr>
              <w:jc w:val="both"/>
              <w:rPr>
                <w:rFonts w:cs="Times New Roman"/>
                <w:b/>
                <w:bCs/>
                <w:sz w:val="22"/>
                <w:szCs w:val="22"/>
                <w:lang w:bidi="hi-IN"/>
              </w:rPr>
            </w:pPr>
            <w:r w:rsidRPr="00B820C9">
              <w:rPr>
                <w:rFonts w:cs="Times New Roman"/>
                <w:b/>
                <w:bCs/>
                <w:sz w:val="22"/>
                <w:szCs w:val="22"/>
                <w:lang w:bidi="hi-IN"/>
              </w:rPr>
              <w:t>Sl. No.</w:t>
            </w:r>
          </w:p>
        </w:tc>
        <w:tc>
          <w:tcPr>
            <w:tcW w:w="1488" w:type="dxa"/>
            <w:tcBorders>
              <w:top w:val="single" w:sz="4" w:space="0" w:color="auto"/>
              <w:left w:val="nil"/>
              <w:bottom w:val="single" w:sz="4" w:space="0" w:color="auto"/>
              <w:right w:val="single" w:sz="4" w:space="0" w:color="auto"/>
            </w:tcBorders>
            <w:shd w:val="clear" w:color="auto" w:fill="auto"/>
            <w:hideMark/>
          </w:tcPr>
          <w:p w14:paraId="4BAEFB00" w14:textId="21586E3E" w:rsidR="00C5770B" w:rsidRPr="00B820C9" w:rsidRDefault="00C5770B" w:rsidP="005034E1">
            <w:pPr>
              <w:spacing w:before="240"/>
              <w:jc w:val="both"/>
              <w:rPr>
                <w:rFonts w:cs="Times New Roman"/>
                <w:b/>
                <w:bCs/>
                <w:sz w:val="22"/>
                <w:szCs w:val="22"/>
                <w:lang w:bidi="hi-IN"/>
              </w:rPr>
            </w:pPr>
            <w:r>
              <w:rPr>
                <w:rFonts w:cs="Times New Roman"/>
                <w:b/>
                <w:bCs/>
                <w:sz w:val="22"/>
                <w:szCs w:val="22"/>
                <w:lang w:bidi="hi-IN"/>
              </w:rPr>
              <w:t xml:space="preserve">Bidding Document </w:t>
            </w:r>
            <w:r w:rsidRPr="00B820C9">
              <w:rPr>
                <w:rFonts w:cs="Times New Roman"/>
                <w:b/>
                <w:bCs/>
                <w:sz w:val="22"/>
                <w:szCs w:val="22"/>
                <w:lang w:bidi="hi-IN"/>
              </w:rPr>
              <w:t>Clause No.</w:t>
            </w:r>
          </w:p>
        </w:tc>
        <w:tc>
          <w:tcPr>
            <w:tcW w:w="7934" w:type="dxa"/>
            <w:tcBorders>
              <w:top w:val="single" w:sz="4" w:space="0" w:color="auto"/>
              <w:left w:val="nil"/>
              <w:bottom w:val="single" w:sz="4" w:space="0" w:color="auto"/>
              <w:right w:val="single" w:sz="4" w:space="0" w:color="auto"/>
            </w:tcBorders>
            <w:shd w:val="clear" w:color="auto" w:fill="auto"/>
            <w:noWrap/>
            <w:hideMark/>
          </w:tcPr>
          <w:p w14:paraId="364D2276" w14:textId="60FF17A9" w:rsidR="00C5770B" w:rsidRPr="00B820C9" w:rsidRDefault="00C5770B" w:rsidP="005034E1">
            <w:pPr>
              <w:spacing w:before="240"/>
              <w:jc w:val="both"/>
              <w:rPr>
                <w:rFonts w:cs="Times New Roman"/>
                <w:b/>
                <w:bCs/>
                <w:sz w:val="22"/>
                <w:szCs w:val="22"/>
                <w:lang w:bidi="hi-IN"/>
              </w:rPr>
            </w:pPr>
            <w:r w:rsidRPr="002A6CBF">
              <w:rPr>
                <w:rFonts w:ascii="Book Antiqua" w:hAnsi="Book Antiqua"/>
                <w:b/>
                <w:bCs/>
                <w:sz w:val="22"/>
                <w:szCs w:val="22"/>
              </w:rPr>
              <w:t>Bidders' Query</w:t>
            </w:r>
          </w:p>
        </w:tc>
        <w:tc>
          <w:tcPr>
            <w:tcW w:w="3808" w:type="dxa"/>
            <w:tcBorders>
              <w:top w:val="single" w:sz="4" w:space="0" w:color="auto"/>
              <w:left w:val="nil"/>
              <w:bottom w:val="single" w:sz="4" w:space="0" w:color="auto"/>
              <w:right w:val="single" w:sz="4" w:space="0" w:color="auto"/>
            </w:tcBorders>
            <w:shd w:val="clear" w:color="auto" w:fill="auto"/>
            <w:noWrap/>
            <w:hideMark/>
          </w:tcPr>
          <w:p w14:paraId="482FDCC9" w14:textId="4C9201AB" w:rsidR="00C5770B" w:rsidRPr="00B820C9" w:rsidRDefault="00C5770B" w:rsidP="005034E1">
            <w:pPr>
              <w:spacing w:before="240"/>
              <w:jc w:val="both"/>
              <w:rPr>
                <w:rFonts w:cs="Times New Roman"/>
                <w:b/>
                <w:bCs/>
                <w:sz w:val="22"/>
                <w:szCs w:val="22"/>
                <w:lang w:bidi="hi-IN"/>
              </w:rPr>
            </w:pPr>
            <w:r w:rsidRPr="002A6CBF">
              <w:rPr>
                <w:rFonts w:ascii="Book Antiqua" w:hAnsi="Book Antiqua"/>
                <w:b/>
                <w:bCs/>
                <w:sz w:val="22"/>
                <w:szCs w:val="22"/>
              </w:rPr>
              <w:t>POWERGRID Reply</w:t>
            </w:r>
          </w:p>
        </w:tc>
      </w:tr>
      <w:tr w:rsidR="00C5770B" w:rsidRPr="00B820C9" w14:paraId="481B8AF4" w14:textId="77777777" w:rsidTr="00C5770B">
        <w:trPr>
          <w:trHeight w:val="305"/>
        </w:trPr>
        <w:tc>
          <w:tcPr>
            <w:tcW w:w="820" w:type="dxa"/>
            <w:tcBorders>
              <w:top w:val="nil"/>
              <w:left w:val="single" w:sz="4" w:space="0" w:color="auto"/>
              <w:bottom w:val="single" w:sz="4" w:space="0" w:color="auto"/>
              <w:right w:val="single" w:sz="4" w:space="0" w:color="auto"/>
            </w:tcBorders>
            <w:shd w:val="clear" w:color="auto" w:fill="auto"/>
            <w:noWrap/>
          </w:tcPr>
          <w:p w14:paraId="2FF34FF1" w14:textId="77777777" w:rsidR="00C5770B" w:rsidRPr="00B820C9" w:rsidRDefault="00C5770B" w:rsidP="001B4841">
            <w:pPr>
              <w:numPr>
                <w:ilvl w:val="0"/>
                <w:numId w:val="1"/>
              </w:numPr>
              <w:tabs>
                <w:tab w:val="left" w:pos="360"/>
              </w:tabs>
              <w:jc w:val="both"/>
              <w:rPr>
                <w:rFonts w:cs="Times New Roman"/>
                <w:sz w:val="22"/>
                <w:szCs w:val="22"/>
                <w:lang w:bidi="hi-IN"/>
              </w:rPr>
            </w:pPr>
          </w:p>
        </w:tc>
        <w:tc>
          <w:tcPr>
            <w:tcW w:w="1488" w:type="dxa"/>
            <w:tcBorders>
              <w:top w:val="nil"/>
              <w:left w:val="nil"/>
              <w:bottom w:val="single" w:sz="4" w:space="0" w:color="auto"/>
              <w:right w:val="single" w:sz="4" w:space="0" w:color="auto"/>
            </w:tcBorders>
            <w:shd w:val="clear" w:color="auto" w:fill="auto"/>
            <w:noWrap/>
          </w:tcPr>
          <w:p w14:paraId="06672A68" w14:textId="10B252E0" w:rsidR="00C5770B" w:rsidRDefault="00C5770B" w:rsidP="00626E19">
            <w:pPr>
              <w:jc w:val="both"/>
              <w:rPr>
                <w:rFonts w:cs="Times New Roman"/>
                <w:sz w:val="22"/>
                <w:szCs w:val="22"/>
              </w:rPr>
            </w:pPr>
            <w:r w:rsidRPr="00C5770B">
              <w:rPr>
                <w:rFonts w:cs="Times New Roman"/>
                <w:sz w:val="22"/>
                <w:szCs w:val="22"/>
              </w:rPr>
              <w:t>Vol. II of Bidding Documents</w:t>
            </w:r>
            <w:r>
              <w:rPr>
                <w:rFonts w:cs="Times New Roman"/>
                <w:sz w:val="22"/>
                <w:szCs w:val="22"/>
              </w:rPr>
              <w:t>-</w:t>
            </w:r>
            <w:r w:rsidRPr="00C5770B">
              <w:rPr>
                <w:rFonts w:cs="Times New Roman"/>
                <w:sz w:val="22"/>
                <w:szCs w:val="22"/>
              </w:rPr>
              <w:t xml:space="preserve"> </w:t>
            </w:r>
          </w:p>
          <w:p w14:paraId="11632E08" w14:textId="77777777" w:rsidR="00C5770B" w:rsidRDefault="00C5770B" w:rsidP="00626E19">
            <w:pPr>
              <w:jc w:val="both"/>
              <w:rPr>
                <w:rFonts w:cs="Times New Roman"/>
                <w:sz w:val="22"/>
                <w:szCs w:val="22"/>
              </w:rPr>
            </w:pPr>
          </w:p>
          <w:p w14:paraId="1E203167" w14:textId="53F24C3A" w:rsidR="00C5770B" w:rsidRPr="00626E19" w:rsidRDefault="00C5770B" w:rsidP="00626E19">
            <w:pPr>
              <w:jc w:val="both"/>
              <w:rPr>
                <w:rFonts w:cs="Times New Roman"/>
                <w:sz w:val="22"/>
                <w:szCs w:val="22"/>
              </w:rPr>
            </w:pPr>
            <w:r w:rsidRPr="00626E19">
              <w:rPr>
                <w:rFonts w:cs="Times New Roman"/>
                <w:sz w:val="22"/>
                <w:szCs w:val="22"/>
              </w:rPr>
              <w:t>Annexure-</w:t>
            </w:r>
            <w:proofErr w:type="spellStart"/>
            <w:r w:rsidRPr="00626E19">
              <w:rPr>
                <w:rFonts w:cs="Times New Roman"/>
                <w:sz w:val="22"/>
                <w:szCs w:val="22"/>
              </w:rPr>
              <w:t>I_Specific</w:t>
            </w:r>
            <w:proofErr w:type="spellEnd"/>
            <w:r w:rsidRPr="00626E19">
              <w:rPr>
                <w:rFonts w:cs="Times New Roman"/>
                <w:sz w:val="22"/>
                <w:szCs w:val="22"/>
              </w:rPr>
              <w:t xml:space="preserve"> Requirement_ Clause No. </w:t>
            </w:r>
          </w:p>
          <w:p w14:paraId="78619634" w14:textId="1EDAF3DA" w:rsidR="00C5770B" w:rsidRPr="00B820C9" w:rsidRDefault="00C5770B" w:rsidP="00626E19">
            <w:pPr>
              <w:jc w:val="both"/>
              <w:rPr>
                <w:rFonts w:cs="Times New Roman"/>
                <w:sz w:val="22"/>
                <w:szCs w:val="22"/>
              </w:rPr>
            </w:pPr>
            <w:r w:rsidRPr="00626E19">
              <w:rPr>
                <w:rFonts w:cs="Times New Roman"/>
                <w:sz w:val="22"/>
                <w:szCs w:val="22"/>
              </w:rPr>
              <w:t>O.14</w:t>
            </w:r>
          </w:p>
        </w:tc>
        <w:tc>
          <w:tcPr>
            <w:tcW w:w="7934" w:type="dxa"/>
            <w:tcBorders>
              <w:top w:val="nil"/>
              <w:left w:val="nil"/>
              <w:bottom w:val="single" w:sz="4" w:space="0" w:color="auto"/>
              <w:right w:val="single" w:sz="4" w:space="0" w:color="auto"/>
            </w:tcBorders>
            <w:shd w:val="clear" w:color="auto" w:fill="auto"/>
            <w:vAlign w:val="center"/>
          </w:tcPr>
          <w:p w14:paraId="64BC3C2C" w14:textId="09E39D23" w:rsidR="00C5770B" w:rsidRPr="005867B9" w:rsidRDefault="00C5770B" w:rsidP="005867B9">
            <w:pPr>
              <w:jc w:val="both"/>
              <w:rPr>
                <w:rFonts w:ascii="Book Antiqua" w:hAnsi="Book Antiqua" w:cs="Calibri"/>
                <w:color w:val="000000"/>
              </w:rPr>
            </w:pPr>
            <w:r w:rsidRPr="005867B9">
              <w:rPr>
                <w:rFonts w:ascii="Book Antiqua" w:hAnsi="Book Antiqua" w:cs="Calibri"/>
                <w:color w:val="000000"/>
              </w:rPr>
              <w:t>This is with reference to the subject cited tenders, revised specific requirement, where it is mentioned that for coastal area reactor/transformer (external surface) painting shall be of C5 type as per ISO 12944-5 with total DFT 320 µm (minimum).</w:t>
            </w:r>
            <w:r>
              <w:rPr>
                <w:rFonts w:ascii="Book Antiqua" w:hAnsi="Book Antiqua" w:cs="Calibri"/>
                <w:color w:val="000000"/>
              </w:rPr>
              <w:t xml:space="preserve"> </w:t>
            </w:r>
            <w:r w:rsidRPr="005867B9">
              <w:rPr>
                <w:rFonts w:ascii="Book Antiqua" w:hAnsi="Book Antiqua" w:cs="Calibri"/>
                <w:color w:val="000000"/>
              </w:rPr>
              <w:t>Here we would like to highlight that the C5 requirement refers to Industrial areas with high humidity and aggressive atmosphere, and coastal areas with high salinity —typically regions located directly along the sea line.</w:t>
            </w:r>
          </w:p>
          <w:p w14:paraId="2CFEE0F1" w14:textId="04E7EC33" w:rsidR="00C5770B" w:rsidRPr="005867B9" w:rsidRDefault="00C5770B" w:rsidP="005867B9">
            <w:pPr>
              <w:jc w:val="both"/>
              <w:rPr>
                <w:rFonts w:ascii="Book Antiqua" w:hAnsi="Book Antiqua" w:cs="Calibri"/>
                <w:color w:val="000000"/>
              </w:rPr>
            </w:pPr>
            <w:r w:rsidRPr="005867B9">
              <w:rPr>
                <w:rFonts w:ascii="Book Antiqua" w:hAnsi="Book Antiqua" w:cs="Calibri"/>
                <w:color w:val="000000"/>
              </w:rPr>
              <w:t>We understand that these bulk procurements are for the various TBCB projects and the specific site details will be shared at the time of execution.</w:t>
            </w:r>
          </w:p>
          <w:p w14:paraId="5B2DE120" w14:textId="00FEBC5D" w:rsidR="00C5770B" w:rsidRPr="005867B9" w:rsidRDefault="00C5770B" w:rsidP="005867B9">
            <w:pPr>
              <w:jc w:val="both"/>
              <w:rPr>
                <w:rFonts w:ascii="Book Antiqua" w:hAnsi="Book Antiqua" w:cs="Calibri"/>
                <w:color w:val="000000"/>
              </w:rPr>
            </w:pPr>
            <w:r w:rsidRPr="005867B9">
              <w:rPr>
                <w:rFonts w:ascii="Book Antiqua" w:hAnsi="Book Antiqua" w:cs="Calibri"/>
                <w:color w:val="000000"/>
              </w:rPr>
              <w:t xml:space="preserve">At present, we have not observed any major TBCB projects that are situated directly along the seacoast. However, PGCIL is asking this extreme requirement for the huge quantity. </w:t>
            </w:r>
          </w:p>
          <w:p w14:paraId="5D1FC531" w14:textId="7CEFEE2F" w:rsidR="00C5770B" w:rsidRPr="005867B9" w:rsidRDefault="00C5770B" w:rsidP="005867B9">
            <w:pPr>
              <w:jc w:val="both"/>
              <w:rPr>
                <w:rFonts w:ascii="Book Antiqua" w:hAnsi="Book Antiqua" w:cs="Calibri"/>
                <w:color w:val="000000"/>
              </w:rPr>
            </w:pPr>
            <w:r w:rsidRPr="005867B9">
              <w:rPr>
                <w:rFonts w:ascii="Book Antiqua" w:hAnsi="Book Antiqua" w:cs="Calibri"/>
                <w:color w:val="000000"/>
              </w:rPr>
              <w:t>We request PGCIL to remove this requirement at tendering stage and instead evaluate the necessity and</w:t>
            </w:r>
            <w:r>
              <w:rPr>
                <w:rFonts w:ascii="Book Antiqua" w:hAnsi="Book Antiqua" w:cs="Calibri"/>
                <w:color w:val="000000"/>
              </w:rPr>
              <w:t xml:space="preserve"> </w:t>
            </w:r>
            <w:r w:rsidRPr="005867B9">
              <w:rPr>
                <w:rFonts w:ascii="Book Antiqua" w:hAnsi="Book Antiqua" w:cs="Calibri"/>
                <w:color w:val="000000"/>
              </w:rPr>
              <w:t>associated cost at the execution stage, once the final site locations are confirmed.</w:t>
            </w:r>
          </w:p>
          <w:p w14:paraId="026B0DFB" w14:textId="3596BD7E" w:rsidR="00C5770B" w:rsidRPr="005867B9" w:rsidRDefault="00C5770B" w:rsidP="005867B9">
            <w:pPr>
              <w:jc w:val="both"/>
              <w:rPr>
                <w:rFonts w:ascii="Book Antiqua" w:hAnsi="Book Antiqua" w:cs="Calibri"/>
                <w:color w:val="000000"/>
              </w:rPr>
            </w:pPr>
            <w:r w:rsidRPr="005867B9">
              <w:rPr>
                <w:rFonts w:ascii="Book Antiqua" w:hAnsi="Book Antiqua" w:cs="Calibri"/>
                <w:color w:val="000000"/>
              </w:rPr>
              <w:t>Our intention is to raise this concern in good faith, to support PGCIL’s objectives, and to ensure a cost</w:t>
            </w:r>
            <w:r>
              <w:rPr>
                <w:rFonts w:ascii="Book Antiqua" w:hAnsi="Book Antiqua" w:cs="Calibri"/>
                <w:color w:val="000000"/>
              </w:rPr>
              <w:t xml:space="preserve"> </w:t>
            </w:r>
            <w:r w:rsidRPr="005867B9">
              <w:rPr>
                <w:rFonts w:ascii="Book Antiqua" w:hAnsi="Book Antiqua" w:cs="Calibri"/>
                <w:color w:val="000000"/>
              </w:rPr>
              <w:t>effective and practical approach to procurement.</w:t>
            </w:r>
          </w:p>
          <w:p w14:paraId="4E6301F7" w14:textId="2FA36CFF" w:rsidR="00C5770B" w:rsidRPr="00B820C9" w:rsidRDefault="00C5770B" w:rsidP="005867B9">
            <w:pPr>
              <w:jc w:val="both"/>
              <w:rPr>
                <w:rFonts w:cs="Times New Roman"/>
                <w:color w:val="000000"/>
                <w:sz w:val="22"/>
                <w:szCs w:val="22"/>
              </w:rPr>
            </w:pPr>
            <w:r w:rsidRPr="005867B9">
              <w:rPr>
                <w:rFonts w:ascii="Book Antiqua" w:hAnsi="Book Antiqua" w:cs="Calibri"/>
                <w:color w:val="000000"/>
              </w:rPr>
              <w:t xml:space="preserve">Thank you for your attention, and we remain committed to always providing our best service. </w:t>
            </w:r>
          </w:p>
        </w:tc>
        <w:tc>
          <w:tcPr>
            <w:tcW w:w="3808" w:type="dxa"/>
            <w:tcBorders>
              <w:top w:val="nil"/>
              <w:left w:val="nil"/>
              <w:bottom w:val="single" w:sz="4" w:space="0" w:color="auto"/>
              <w:right w:val="single" w:sz="4" w:space="0" w:color="auto"/>
            </w:tcBorders>
            <w:shd w:val="clear" w:color="auto" w:fill="auto"/>
          </w:tcPr>
          <w:p w14:paraId="474F4BCB" w14:textId="32BC707D" w:rsidR="00C5770B" w:rsidRPr="00264A41" w:rsidRDefault="00C5770B" w:rsidP="00264A41">
            <w:pPr>
              <w:jc w:val="both"/>
              <w:rPr>
                <w:rFonts w:ascii="Book Antiqua" w:hAnsi="Book Antiqua" w:cs="Calibri"/>
                <w:color w:val="000000"/>
              </w:rPr>
            </w:pPr>
            <w:r w:rsidRPr="005867B9">
              <w:rPr>
                <w:rFonts w:ascii="Book Antiqua" w:hAnsi="Book Antiqua" w:cs="Calibri"/>
                <w:color w:val="000000"/>
              </w:rPr>
              <w:t>Bidder shall quote meeting the requirement of bidding documents</w:t>
            </w:r>
            <w:r w:rsidRPr="00264A41">
              <w:rPr>
                <w:rFonts w:ascii="Book Antiqua" w:hAnsi="Book Antiqua" w:cs="Calibri"/>
                <w:color w:val="000000"/>
              </w:rPr>
              <w:t>.</w:t>
            </w:r>
          </w:p>
        </w:tc>
      </w:tr>
    </w:tbl>
    <w:p w14:paraId="0B6F445B" w14:textId="77777777" w:rsidR="00EC2856" w:rsidRDefault="00EC2856"/>
    <w:p w14:paraId="6789E041" w14:textId="77777777" w:rsidR="00E04A3F" w:rsidRDefault="00E04A3F"/>
    <w:sectPr w:rsidR="00E04A3F" w:rsidSect="00E94B88">
      <w:headerReference w:type="default" r:id="rId7"/>
      <w:pgSz w:w="15840" w:h="12240" w:orient="landscape"/>
      <w:pgMar w:top="1440" w:right="109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131E" w14:textId="77777777" w:rsidR="004A2EA8" w:rsidRDefault="004A2EA8" w:rsidP="003531ED">
      <w:r>
        <w:separator/>
      </w:r>
    </w:p>
  </w:endnote>
  <w:endnote w:type="continuationSeparator" w:id="0">
    <w:p w14:paraId="51AC67D5" w14:textId="77777777" w:rsidR="004A2EA8" w:rsidRDefault="004A2EA8" w:rsidP="003531ED">
      <w:r>
        <w:continuationSeparator/>
      </w:r>
    </w:p>
  </w:endnote>
  <w:endnote w:type="continuationNotice" w:id="1">
    <w:p w14:paraId="6265F5D9" w14:textId="77777777" w:rsidR="004A2EA8" w:rsidRDefault="004A2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6367" w14:textId="77777777" w:rsidR="004A2EA8" w:rsidRDefault="004A2EA8" w:rsidP="003531ED">
      <w:r>
        <w:separator/>
      </w:r>
    </w:p>
  </w:footnote>
  <w:footnote w:type="continuationSeparator" w:id="0">
    <w:p w14:paraId="15E12656" w14:textId="77777777" w:rsidR="004A2EA8" w:rsidRDefault="004A2EA8" w:rsidP="003531ED">
      <w:r>
        <w:continuationSeparator/>
      </w:r>
    </w:p>
  </w:footnote>
  <w:footnote w:type="continuationNotice" w:id="1">
    <w:p w14:paraId="7FA9A2BB" w14:textId="77777777" w:rsidR="004A2EA8" w:rsidRDefault="004A2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2AB9" w14:textId="5BD70247" w:rsidR="00134B3E" w:rsidRDefault="00134B3E" w:rsidP="00134B3E">
    <w:pPr>
      <w:tabs>
        <w:tab w:val="left" w:pos="1037"/>
      </w:tabs>
      <w:jc w:val="both"/>
      <w:rPr>
        <w:rFonts w:ascii="Palatino Linotype" w:hAnsi="Palatino Linotype"/>
        <w:b/>
        <w:sz w:val="22"/>
        <w:szCs w:val="22"/>
        <w:lang w:val="en-IN"/>
      </w:rPr>
    </w:pPr>
    <w:r w:rsidRPr="00B34A61">
      <w:rPr>
        <w:rFonts w:ascii="Book Antiqua" w:hAnsi="Book Antiqua" w:cs="Arial"/>
        <w:b/>
        <w:sz w:val="22"/>
        <w:szCs w:val="22"/>
        <w:u w:val="single"/>
      </w:rPr>
      <w:t xml:space="preserve">Clarification No-I </w:t>
    </w:r>
    <w:r>
      <w:rPr>
        <w:rFonts w:ascii="Book Antiqua" w:hAnsi="Book Antiqua" w:cs="Arial"/>
        <w:b/>
        <w:sz w:val="22"/>
        <w:szCs w:val="22"/>
        <w:u w:val="single"/>
      </w:rPr>
      <w:t xml:space="preserve">dated </w:t>
    </w:r>
    <w:r w:rsidR="00DD374D">
      <w:rPr>
        <w:rFonts w:ascii="Book Antiqua" w:hAnsi="Book Antiqua" w:cs="Arial"/>
        <w:b/>
        <w:sz w:val="22"/>
        <w:szCs w:val="22"/>
        <w:u w:val="single"/>
      </w:rPr>
      <w:t>02/05</w:t>
    </w:r>
    <w:r>
      <w:rPr>
        <w:rFonts w:ascii="Book Antiqua" w:hAnsi="Book Antiqua" w:cs="Arial"/>
        <w:b/>
        <w:sz w:val="22"/>
        <w:szCs w:val="22"/>
        <w:u w:val="single"/>
      </w:rPr>
      <w:t>/202</w:t>
    </w:r>
    <w:r w:rsidR="005034E1">
      <w:rPr>
        <w:rFonts w:ascii="Book Antiqua" w:hAnsi="Book Antiqua" w:cs="Arial"/>
        <w:b/>
        <w:sz w:val="22"/>
        <w:szCs w:val="22"/>
        <w:u w:val="single"/>
      </w:rPr>
      <w:t>5</w:t>
    </w:r>
    <w:r>
      <w:rPr>
        <w:rFonts w:ascii="Book Antiqua" w:hAnsi="Book Antiqua" w:cs="Arial"/>
        <w:b/>
        <w:sz w:val="22"/>
        <w:szCs w:val="22"/>
        <w:u w:val="single"/>
      </w:rPr>
      <w:t xml:space="preserve"> </w:t>
    </w:r>
    <w:r w:rsidRPr="00F447EA">
      <w:rPr>
        <w:rFonts w:ascii="Book Antiqua" w:hAnsi="Book Antiqua" w:cs="Arial"/>
        <w:b/>
        <w:sz w:val="22"/>
        <w:szCs w:val="22"/>
        <w:u w:val="single"/>
      </w:rPr>
      <w:t xml:space="preserve">to the bidding </w:t>
    </w:r>
    <w:r w:rsidRPr="00872496">
      <w:rPr>
        <w:rFonts w:ascii="Book Antiqua" w:hAnsi="Book Antiqua" w:cs="Arial"/>
        <w:b/>
        <w:sz w:val="22"/>
        <w:szCs w:val="22"/>
        <w:u w:val="single"/>
      </w:rPr>
      <w:t xml:space="preserve">documents for </w:t>
    </w:r>
    <w:r w:rsidR="005034E1" w:rsidRPr="005034E1">
      <w:rPr>
        <w:rFonts w:ascii="Book Antiqua" w:hAnsi="Book Antiqua" w:cs="Nirmala UI"/>
        <w:sz w:val="22"/>
        <w:szCs w:val="22"/>
      </w:rPr>
      <w:t>765kV Reactor Package-7RT-22-BULK for procurement of 30 x 80 MVAR, 765kV 1-Ph Reactors under Bulk Procurement of 765kV and 400kV class Transformers &amp; Reactors of various Capacities (Lot-5)</w:t>
    </w:r>
    <w:r w:rsidRPr="00872C15">
      <w:rPr>
        <w:rFonts w:ascii="Book Antiqua" w:hAnsi="Book Antiqua" w:cs="Calibri"/>
        <w:sz w:val="22"/>
        <w:szCs w:val="22"/>
        <w:lang w:eastAsia="en-IN"/>
      </w:rPr>
      <w:t>;</w:t>
    </w:r>
    <w:r w:rsidRPr="00872C15">
      <w:rPr>
        <w:rFonts w:ascii="Book Antiqua" w:hAnsi="Book Antiqua"/>
        <w:sz w:val="22"/>
        <w:szCs w:val="22"/>
        <w:lang w:val="en-IN" w:eastAsia="en-IN" w:bidi="hi-IN"/>
      </w:rPr>
      <w:t xml:space="preserve"> </w:t>
    </w:r>
    <w:r w:rsidRPr="00872C15">
      <w:rPr>
        <w:rFonts w:ascii="Book Antiqua" w:hAnsi="Book Antiqua"/>
        <w:b/>
        <w:bCs/>
        <w:sz w:val="22"/>
        <w:szCs w:val="22"/>
        <w:lang w:val="en-IN" w:eastAsia="en-IN" w:bidi="hi-IN"/>
      </w:rPr>
      <w:t>Spec. No.</w:t>
    </w:r>
    <w:r w:rsidRPr="00872C15">
      <w:rPr>
        <w:rFonts w:ascii="Book Antiqua" w:hAnsi="Book Antiqua"/>
        <w:sz w:val="22"/>
        <w:szCs w:val="22"/>
        <w:lang w:val="en-IN" w:eastAsia="en-IN" w:bidi="hi-IN"/>
      </w:rPr>
      <w:t xml:space="preserve"> </w:t>
    </w:r>
    <w:r w:rsidR="005034E1" w:rsidRPr="005034E1">
      <w:rPr>
        <w:rFonts w:ascii="Book Antiqua" w:hAnsi="Book Antiqua"/>
        <w:sz w:val="22"/>
        <w:szCs w:val="22"/>
        <w:lang w:val="en-IN" w:eastAsia="en-IN" w:bidi="hi-IN"/>
      </w:rPr>
      <w:t>CC/NT/W-RT/DOM/A06/25/03797</w:t>
    </w:r>
  </w:p>
  <w:p w14:paraId="37B3BDC2" w14:textId="2D877102" w:rsidR="003531ED" w:rsidRPr="00134B3E" w:rsidRDefault="003531ED" w:rsidP="0013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7BABC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DD83EEF"/>
    <w:multiLevelType w:val="hybridMultilevel"/>
    <w:tmpl w:val="395E30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43258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84861602">
    <w:abstractNumId w:val="1"/>
  </w:num>
  <w:num w:numId="2" w16cid:durableId="291982852">
    <w:abstractNumId w:val="2"/>
  </w:num>
  <w:num w:numId="3" w16cid:durableId="19280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ED"/>
    <w:rsid w:val="00002D46"/>
    <w:rsid w:val="000349A1"/>
    <w:rsid w:val="00041E50"/>
    <w:rsid w:val="00042AF1"/>
    <w:rsid w:val="000440EE"/>
    <w:rsid w:val="00055CC9"/>
    <w:rsid w:val="000612EE"/>
    <w:rsid w:val="00070C25"/>
    <w:rsid w:val="00081D0B"/>
    <w:rsid w:val="00082C22"/>
    <w:rsid w:val="000913CC"/>
    <w:rsid w:val="0009171C"/>
    <w:rsid w:val="000B31FE"/>
    <w:rsid w:val="000B3D27"/>
    <w:rsid w:val="000D05AD"/>
    <w:rsid w:val="000E751F"/>
    <w:rsid w:val="00102B50"/>
    <w:rsid w:val="00111BF3"/>
    <w:rsid w:val="001177E2"/>
    <w:rsid w:val="00134B3E"/>
    <w:rsid w:val="0014539E"/>
    <w:rsid w:val="00146F9B"/>
    <w:rsid w:val="00153AA4"/>
    <w:rsid w:val="00166251"/>
    <w:rsid w:val="001938C4"/>
    <w:rsid w:val="001B4841"/>
    <w:rsid w:val="001C3C78"/>
    <w:rsid w:val="001D3CF6"/>
    <w:rsid w:val="001E3DCA"/>
    <w:rsid w:val="002033C0"/>
    <w:rsid w:val="00237E34"/>
    <w:rsid w:val="00241157"/>
    <w:rsid w:val="00264A41"/>
    <w:rsid w:val="00274FFE"/>
    <w:rsid w:val="002A589E"/>
    <w:rsid w:val="002C2ACF"/>
    <w:rsid w:val="002E3AB2"/>
    <w:rsid w:val="003004F6"/>
    <w:rsid w:val="003037B7"/>
    <w:rsid w:val="00334502"/>
    <w:rsid w:val="00335CF6"/>
    <w:rsid w:val="003531ED"/>
    <w:rsid w:val="003C30A0"/>
    <w:rsid w:val="003D10DC"/>
    <w:rsid w:val="003F5866"/>
    <w:rsid w:val="003F6AA0"/>
    <w:rsid w:val="0040058C"/>
    <w:rsid w:val="0042535C"/>
    <w:rsid w:val="0044394B"/>
    <w:rsid w:val="00453901"/>
    <w:rsid w:val="004737BC"/>
    <w:rsid w:val="004755EB"/>
    <w:rsid w:val="00480FF0"/>
    <w:rsid w:val="0049015E"/>
    <w:rsid w:val="004A2EA8"/>
    <w:rsid w:val="004A4D7F"/>
    <w:rsid w:val="004B3D02"/>
    <w:rsid w:val="004C0231"/>
    <w:rsid w:val="00500F93"/>
    <w:rsid w:val="005034E1"/>
    <w:rsid w:val="00506101"/>
    <w:rsid w:val="00514A7B"/>
    <w:rsid w:val="005179C4"/>
    <w:rsid w:val="00531B7E"/>
    <w:rsid w:val="005462E1"/>
    <w:rsid w:val="005867B9"/>
    <w:rsid w:val="00590398"/>
    <w:rsid w:val="00597C83"/>
    <w:rsid w:val="005D00C0"/>
    <w:rsid w:val="005F1E66"/>
    <w:rsid w:val="005F2BAF"/>
    <w:rsid w:val="00606001"/>
    <w:rsid w:val="00621A79"/>
    <w:rsid w:val="00626E19"/>
    <w:rsid w:val="006322D1"/>
    <w:rsid w:val="006326A1"/>
    <w:rsid w:val="00641410"/>
    <w:rsid w:val="0069572F"/>
    <w:rsid w:val="00697B2B"/>
    <w:rsid w:val="006B1CE9"/>
    <w:rsid w:val="006B2E50"/>
    <w:rsid w:val="006B5E9F"/>
    <w:rsid w:val="006C5709"/>
    <w:rsid w:val="006D5E8F"/>
    <w:rsid w:val="006E09C6"/>
    <w:rsid w:val="006F070A"/>
    <w:rsid w:val="00712C3B"/>
    <w:rsid w:val="0073426A"/>
    <w:rsid w:val="0075460C"/>
    <w:rsid w:val="00795C3F"/>
    <w:rsid w:val="007B5138"/>
    <w:rsid w:val="007B61E0"/>
    <w:rsid w:val="007C3599"/>
    <w:rsid w:val="007D6BB1"/>
    <w:rsid w:val="007E305B"/>
    <w:rsid w:val="007F0F95"/>
    <w:rsid w:val="007F36CF"/>
    <w:rsid w:val="00807982"/>
    <w:rsid w:val="00812C0F"/>
    <w:rsid w:val="008136E4"/>
    <w:rsid w:val="008156D8"/>
    <w:rsid w:val="00852080"/>
    <w:rsid w:val="00853B7B"/>
    <w:rsid w:val="008672C1"/>
    <w:rsid w:val="00895A08"/>
    <w:rsid w:val="008C02A5"/>
    <w:rsid w:val="008C4ADC"/>
    <w:rsid w:val="008D306A"/>
    <w:rsid w:val="008E4167"/>
    <w:rsid w:val="00916923"/>
    <w:rsid w:val="00925772"/>
    <w:rsid w:val="009369B5"/>
    <w:rsid w:val="009438EE"/>
    <w:rsid w:val="00961DE5"/>
    <w:rsid w:val="009834D9"/>
    <w:rsid w:val="0099602F"/>
    <w:rsid w:val="009B3AB8"/>
    <w:rsid w:val="009B617C"/>
    <w:rsid w:val="009C6117"/>
    <w:rsid w:val="009E4B5B"/>
    <w:rsid w:val="00A20166"/>
    <w:rsid w:val="00A2740B"/>
    <w:rsid w:val="00A562BE"/>
    <w:rsid w:val="00A80CF0"/>
    <w:rsid w:val="00A82299"/>
    <w:rsid w:val="00A923C7"/>
    <w:rsid w:val="00A952D0"/>
    <w:rsid w:val="00AA1C83"/>
    <w:rsid w:val="00AB275F"/>
    <w:rsid w:val="00AD16B6"/>
    <w:rsid w:val="00AD7A14"/>
    <w:rsid w:val="00AE09C7"/>
    <w:rsid w:val="00AE5C05"/>
    <w:rsid w:val="00AF1B26"/>
    <w:rsid w:val="00B0139B"/>
    <w:rsid w:val="00B028A0"/>
    <w:rsid w:val="00B04B17"/>
    <w:rsid w:val="00B05788"/>
    <w:rsid w:val="00B26D4F"/>
    <w:rsid w:val="00B54E1E"/>
    <w:rsid w:val="00B72E37"/>
    <w:rsid w:val="00B86117"/>
    <w:rsid w:val="00BA49DF"/>
    <w:rsid w:val="00BB7A0A"/>
    <w:rsid w:val="00BD2B95"/>
    <w:rsid w:val="00BE6A68"/>
    <w:rsid w:val="00BF5BE9"/>
    <w:rsid w:val="00C43797"/>
    <w:rsid w:val="00C5770B"/>
    <w:rsid w:val="00C63750"/>
    <w:rsid w:val="00C660FE"/>
    <w:rsid w:val="00C67D5C"/>
    <w:rsid w:val="00CA68AE"/>
    <w:rsid w:val="00CA756A"/>
    <w:rsid w:val="00CB27E1"/>
    <w:rsid w:val="00CF3555"/>
    <w:rsid w:val="00D41F4C"/>
    <w:rsid w:val="00D65462"/>
    <w:rsid w:val="00D80123"/>
    <w:rsid w:val="00D94687"/>
    <w:rsid w:val="00D951C7"/>
    <w:rsid w:val="00DD374D"/>
    <w:rsid w:val="00DE0065"/>
    <w:rsid w:val="00E04A3F"/>
    <w:rsid w:val="00E1401F"/>
    <w:rsid w:val="00E1765D"/>
    <w:rsid w:val="00E27351"/>
    <w:rsid w:val="00E3290E"/>
    <w:rsid w:val="00E35327"/>
    <w:rsid w:val="00E44C88"/>
    <w:rsid w:val="00E47859"/>
    <w:rsid w:val="00E61F1F"/>
    <w:rsid w:val="00E67357"/>
    <w:rsid w:val="00E71480"/>
    <w:rsid w:val="00E76FD5"/>
    <w:rsid w:val="00E845FD"/>
    <w:rsid w:val="00E901F0"/>
    <w:rsid w:val="00E93402"/>
    <w:rsid w:val="00E94B88"/>
    <w:rsid w:val="00E9608C"/>
    <w:rsid w:val="00EA4486"/>
    <w:rsid w:val="00EA66A7"/>
    <w:rsid w:val="00EC2856"/>
    <w:rsid w:val="00EE7B3E"/>
    <w:rsid w:val="00EF0A95"/>
    <w:rsid w:val="00F02ABC"/>
    <w:rsid w:val="00F13AC3"/>
    <w:rsid w:val="00F16431"/>
    <w:rsid w:val="00F264CB"/>
    <w:rsid w:val="00F32C61"/>
    <w:rsid w:val="00F3697B"/>
    <w:rsid w:val="00F406F5"/>
    <w:rsid w:val="00F91AB8"/>
    <w:rsid w:val="00F92334"/>
    <w:rsid w:val="00FB72EB"/>
    <w:rsid w:val="00FC07AF"/>
    <w:rsid w:val="00FC7E58"/>
    <w:rsid w:val="00FD0FD7"/>
    <w:rsid w:val="00FD2D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2247BC"/>
  <w15:chartTrackingRefBased/>
  <w15:docId w15:val="{18CF77CA-CB6B-4D19-917F-3EB37F5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ED"/>
    <w:pPr>
      <w:spacing w:after="0" w:line="240" w:lineRule="auto"/>
    </w:pPr>
    <w:rPr>
      <w:rFonts w:ascii="Times New Roman" w:eastAsia="Times New Roman" w:hAnsi="Times New Roman" w:cs="Mangal"/>
      <w:kern w:val="0"/>
      <w:sz w:val="20"/>
      <w:szCs w:val="20"/>
      <w:lang w:bidi="ar-SA"/>
      <w14:ligatures w14:val="none"/>
    </w:rPr>
  </w:style>
  <w:style w:type="paragraph" w:styleId="Heading1">
    <w:name w:val="heading 1"/>
    <w:basedOn w:val="Normal"/>
    <w:next w:val="Normal"/>
    <w:link w:val="Heading1Char"/>
    <w:uiPriority w:val="9"/>
    <w:qFormat/>
    <w:rsid w:val="003531E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3531E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3531E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353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1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1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1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1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1E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531E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531E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53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1ED"/>
    <w:rPr>
      <w:rFonts w:eastAsiaTheme="majorEastAsia" w:cstheme="majorBidi"/>
      <w:color w:val="272727" w:themeColor="text1" w:themeTint="D8"/>
    </w:rPr>
  </w:style>
  <w:style w:type="paragraph" w:styleId="Title">
    <w:name w:val="Title"/>
    <w:basedOn w:val="Normal"/>
    <w:next w:val="Normal"/>
    <w:link w:val="TitleChar"/>
    <w:uiPriority w:val="10"/>
    <w:qFormat/>
    <w:rsid w:val="003531ED"/>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531E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531E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531E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531ED"/>
    <w:pPr>
      <w:spacing w:before="160"/>
      <w:jc w:val="center"/>
    </w:pPr>
    <w:rPr>
      <w:i/>
      <w:iCs/>
      <w:color w:val="404040" w:themeColor="text1" w:themeTint="BF"/>
    </w:rPr>
  </w:style>
  <w:style w:type="character" w:customStyle="1" w:styleId="QuoteChar">
    <w:name w:val="Quote Char"/>
    <w:basedOn w:val="DefaultParagraphFont"/>
    <w:link w:val="Quote"/>
    <w:uiPriority w:val="29"/>
    <w:rsid w:val="003531ED"/>
    <w:rPr>
      <w:rFonts w:cs="Mangal"/>
      <w:i/>
      <w:iCs/>
      <w:color w:val="404040" w:themeColor="text1" w:themeTint="BF"/>
    </w:rPr>
  </w:style>
  <w:style w:type="paragraph" w:styleId="ListParagraph">
    <w:name w:val="List Paragraph"/>
    <w:basedOn w:val="Normal"/>
    <w:uiPriority w:val="34"/>
    <w:qFormat/>
    <w:rsid w:val="003531ED"/>
    <w:pPr>
      <w:ind w:left="720"/>
      <w:contextualSpacing/>
    </w:pPr>
  </w:style>
  <w:style w:type="character" w:styleId="IntenseEmphasis">
    <w:name w:val="Intense Emphasis"/>
    <w:basedOn w:val="DefaultParagraphFont"/>
    <w:uiPriority w:val="21"/>
    <w:qFormat/>
    <w:rsid w:val="003531ED"/>
    <w:rPr>
      <w:i/>
      <w:iCs/>
      <w:color w:val="0F4761" w:themeColor="accent1" w:themeShade="BF"/>
    </w:rPr>
  </w:style>
  <w:style w:type="paragraph" w:styleId="IntenseQuote">
    <w:name w:val="Intense Quote"/>
    <w:basedOn w:val="Normal"/>
    <w:next w:val="Normal"/>
    <w:link w:val="IntenseQuoteChar"/>
    <w:uiPriority w:val="30"/>
    <w:qFormat/>
    <w:rsid w:val="00353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1ED"/>
    <w:rPr>
      <w:rFonts w:cs="Mangal"/>
      <w:i/>
      <w:iCs/>
      <w:color w:val="0F4761" w:themeColor="accent1" w:themeShade="BF"/>
    </w:rPr>
  </w:style>
  <w:style w:type="character" w:styleId="IntenseReference">
    <w:name w:val="Intense Reference"/>
    <w:basedOn w:val="DefaultParagraphFont"/>
    <w:uiPriority w:val="32"/>
    <w:qFormat/>
    <w:rsid w:val="003531ED"/>
    <w:rPr>
      <w:b/>
      <w:bCs/>
      <w:smallCaps/>
      <w:color w:val="0F4761" w:themeColor="accent1" w:themeShade="BF"/>
      <w:spacing w:val="5"/>
    </w:rPr>
  </w:style>
  <w:style w:type="paragraph" w:customStyle="1" w:styleId="Default">
    <w:name w:val="Default"/>
    <w:rsid w:val="003531ED"/>
    <w:pPr>
      <w:autoSpaceDE w:val="0"/>
      <w:autoSpaceDN w:val="0"/>
      <w:adjustRightInd w:val="0"/>
      <w:spacing w:after="0" w:line="240" w:lineRule="auto"/>
    </w:pPr>
    <w:rPr>
      <w:rFonts w:ascii="Times New Roman" w:eastAsia="Times New Roman" w:hAnsi="Times New Roman" w:cs="Times New Roman"/>
      <w:color w:val="000000"/>
      <w:kern w:val="0"/>
      <w:szCs w:val="24"/>
      <w14:ligatures w14:val="none"/>
    </w:rPr>
  </w:style>
  <w:style w:type="paragraph" w:styleId="Header">
    <w:name w:val="header"/>
    <w:basedOn w:val="Normal"/>
    <w:link w:val="HeaderChar"/>
    <w:uiPriority w:val="99"/>
    <w:unhideWhenUsed/>
    <w:rsid w:val="003531ED"/>
    <w:pPr>
      <w:tabs>
        <w:tab w:val="center" w:pos="4680"/>
        <w:tab w:val="right" w:pos="9360"/>
      </w:tabs>
    </w:pPr>
  </w:style>
  <w:style w:type="character" w:customStyle="1" w:styleId="HeaderChar">
    <w:name w:val="Header Char"/>
    <w:basedOn w:val="DefaultParagraphFont"/>
    <w:link w:val="Header"/>
    <w:uiPriority w:val="99"/>
    <w:rsid w:val="003531ED"/>
    <w:rPr>
      <w:rFonts w:ascii="Times New Roman" w:eastAsia="Times New Roman" w:hAnsi="Times New Roman" w:cs="Mangal"/>
      <w:kern w:val="0"/>
      <w:sz w:val="20"/>
      <w:szCs w:val="20"/>
      <w:lang w:bidi="ar-SA"/>
      <w14:ligatures w14:val="none"/>
    </w:rPr>
  </w:style>
  <w:style w:type="paragraph" w:styleId="Footer">
    <w:name w:val="footer"/>
    <w:basedOn w:val="Normal"/>
    <w:link w:val="FooterChar"/>
    <w:uiPriority w:val="99"/>
    <w:unhideWhenUsed/>
    <w:rsid w:val="003531ED"/>
    <w:pPr>
      <w:tabs>
        <w:tab w:val="center" w:pos="4680"/>
        <w:tab w:val="right" w:pos="9360"/>
      </w:tabs>
    </w:pPr>
  </w:style>
  <w:style w:type="character" w:customStyle="1" w:styleId="FooterChar">
    <w:name w:val="Footer Char"/>
    <w:basedOn w:val="DefaultParagraphFont"/>
    <w:link w:val="Footer"/>
    <w:uiPriority w:val="99"/>
    <w:rsid w:val="003531ED"/>
    <w:rPr>
      <w:rFonts w:ascii="Times New Roman" w:eastAsia="Times New Roman" w:hAnsi="Times New Roman" w:cs="Mangal"/>
      <w:kern w:val="0"/>
      <w:sz w:val="20"/>
      <w:szCs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78170">
      <w:bodyDiv w:val="1"/>
      <w:marLeft w:val="0"/>
      <w:marRight w:val="0"/>
      <w:marTop w:val="0"/>
      <w:marBottom w:val="0"/>
      <w:divBdr>
        <w:top w:val="none" w:sz="0" w:space="0" w:color="auto"/>
        <w:left w:val="none" w:sz="0" w:space="0" w:color="auto"/>
        <w:bottom w:val="none" w:sz="0" w:space="0" w:color="auto"/>
        <w:right w:val="none" w:sz="0" w:space="0" w:color="auto"/>
      </w:divBdr>
    </w:div>
    <w:div w:id="1094015474">
      <w:bodyDiv w:val="1"/>
      <w:marLeft w:val="0"/>
      <w:marRight w:val="0"/>
      <w:marTop w:val="0"/>
      <w:marBottom w:val="0"/>
      <w:divBdr>
        <w:top w:val="none" w:sz="0" w:space="0" w:color="auto"/>
        <w:left w:val="none" w:sz="0" w:space="0" w:color="auto"/>
        <w:bottom w:val="none" w:sz="0" w:space="0" w:color="auto"/>
        <w:right w:val="none" w:sz="0" w:space="0" w:color="auto"/>
      </w:divBdr>
    </w:div>
    <w:div w:id="1126967150">
      <w:bodyDiv w:val="1"/>
      <w:marLeft w:val="0"/>
      <w:marRight w:val="0"/>
      <w:marTop w:val="0"/>
      <w:marBottom w:val="0"/>
      <w:divBdr>
        <w:top w:val="none" w:sz="0" w:space="0" w:color="auto"/>
        <w:left w:val="none" w:sz="0" w:space="0" w:color="auto"/>
        <w:bottom w:val="none" w:sz="0" w:space="0" w:color="auto"/>
        <w:right w:val="none" w:sz="0" w:space="0" w:color="auto"/>
      </w:divBdr>
    </w:div>
    <w:div w:id="203954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Sharma {गौतम शर्मा}</dc:creator>
  <cp:keywords/>
  <dc:description/>
  <cp:lastModifiedBy>Yogesh Kushwaha {योगेश कुशवाहा}</cp:lastModifiedBy>
  <cp:revision>165</cp:revision>
  <cp:lastPrinted>2024-07-24T13:44:00Z</cp:lastPrinted>
  <dcterms:created xsi:type="dcterms:W3CDTF">2024-07-24T07:10:00Z</dcterms:created>
  <dcterms:modified xsi:type="dcterms:W3CDTF">2025-05-02T12:09:00Z</dcterms:modified>
</cp:coreProperties>
</file>