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980F" w14:textId="77777777" w:rsidR="00E75C05" w:rsidRDefault="00E75C05" w:rsidP="0060646C">
      <w:pPr>
        <w:jc w:val="both"/>
      </w:pPr>
    </w:p>
    <w:p w14:paraId="088F510D" w14:textId="2D419595" w:rsidR="0060646C" w:rsidRPr="0060646C" w:rsidRDefault="0060646C" w:rsidP="0060646C">
      <w:pPr>
        <w:jc w:val="center"/>
        <w:rPr>
          <w:b/>
          <w:bCs/>
          <w:sz w:val="24"/>
          <w:szCs w:val="24"/>
        </w:rPr>
      </w:pPr>
      <w:r w:rsidRPr="0060646C">
        <w:rPr>
          <w:b/>
          <w:bCs/>
          <w:sz w:val="24"/>
          <w:szCs w:val="24"/>
        </w:rPr>
        <w:t>Corrigendum to Technical QR</w:t>
      </w:r>
    </w:p>
    <w:p w14:paraId="7EEBBFF5" w14:textId="77777777" w:rsidR="0060646C" w:rsidRDefault="0060646C" w:rsidP="0060646C">
      <w:pPr>
        <w:jc w:val="both"/>
        <w:rPr>
          <w:b/>
          <w:bCs/>
        </w:rPr>
      </w:pPr>
    </w:p>
    <w:tbl>
      <w:tblPr>
        <w:tblW w:w="9923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2235"/>
        <w:gridCol w:w="3540"/>
        <w:gridCol w:w="3827"/>
      </w:tblGrid>
      <w:tr w:rsidR="0060646C" w:rsidRPr="0060646C" w14:paraId="0E9D029A" w14:textId="77777777" w:rsidTr="00362E3B">
        <w:trPr>
          <w:trHeight w:val="9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4C469C" w14:textId="77777777" w:rsidR="0060646C" w:rsidRPr="0060646C" w:rsidRDefault="0060646C" w:rsidP="00362E3B">
            <w:pPr>
              <w:jc w:val="both"/>
            </w:pPr>
            <w:r w:rsidRPr="0060646C">
              <w:rPr>
                <w:b/>
                <w:bCs/>
              </w:rPr>
              <w:t>SN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3D86CB" w14:textId="77777777" w:rsidR="0060646C" w:rsidRPr="0060646C" w:rsidRDefault="0060646C" w:rsidP="00362E3B">
            <w:pPr>
              <w:jc w:val="both"/>
            </w:pPr>
            <w:r w:rsidRPr="0060646C">
              <w:rPr>
                <w:b/>
                <w:bCs/>
              </w:rPr>
              <w:t>Clause No. / Section of Tender</w:t>
            </w:r>
          </w:p>
          <w:p w14:paraId="0568F576" w14:textId="77777777" w:rsidR="0060646C" w:rsidRPr="0060646C" w:rsidRDefault="0060646C" w:rsidP="00362E3B">
            <w:pPr>
              <w:jc w:val="both"/>
            </w:pPr>
            <w:r w:rsidRPr="0060646C">
              <w:rPr>
                <w:b/>
                <w:bCs/>
              </w:rPr>
              <w:t>Document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9D6FEF" w14:textId="77777777" w:rsidR="0060646C" w:rsidRPr="0060646C" w:rsidRDefault="0060646C" w:rsidP="00362E3B">
            <w:pPr>
              <w:jc w:val="both"/>
            </w:pPr>
            <w:r w:rsidRPr="0060646C">
              <w:rPr>
                <w:b/>
                <w:bCs/>
              </w:rPr>
              <w:t>Existing Provision in Tender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DBE2EB" w14:textId="77777777" w:rsidR="0060646C" w:rsidRPr="0060646C" w:rsidRDefault="0060646C" w:rsidP="00362E3B">
            <w:pPr>
              <w:jc w:val="both"/>
            </w:pPr>
            <w:r>
              <w:rPr>
                <w:b/>
                <w:bCs/>
              </w:rPr>
              <w:t>Modified provision</w:t>
            </w:r>
          </w:p>
        </w:tc>
      </w:tr>
      <w:tr w:rsidR="0060646C" w:rsidRPr="0060646C" w14:paraId="2C4048DE" w14:textId="77777777" w:rsidTr="00362E3B">
        <w:trPr>
          <w:trHeight w:val="2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798E63" w14:textId="77777777" w:rsidR="0060646C" w:rsidRPr="0060646C" w:rsidRDefault="0060646C" w:rsidP="00362E3B">
            <w:pPr>
              <w:jc w:val="both"/>
            </w:pPr>
            <w:r w:rsidRPr="0060646C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583309" w14:textId="77777777" w:rsidR="0060646C" w:rsidRPr="0060646C" w:rsidRDefault="0060646C" w:rsidP="00362E3B">
            <w:pPr>
              <w:jc w:val="both"/>
            </w:pPr>
            <w:r w:rsidRPr="0060646C">
              <w:t>Annexure-A (BDS)-QR</w:t>
            </w:r>
          </w:p>
          <w:p w14:paraId="14AAB1F2" w14:textId="77777777" w:rsidR="0060646C" w:rsidRPr="0060646C" w:rsidRDefault="0060646C" w:rsidP="00362E3B">
            <w:pPr>
              <w:jc w:val="both"/>
            </w:pPr>
            <w:r w:rsidRPr="0060646C">
              <w:t> </w:t>
            </w:r>
          </w:p>
          <w:p w14:paraId="737943F0" w14:textId="77777777" w:rsidR="0060646C" w:rsidRPr="0060646C" w:rsidRDefault="0060646C" w:rsidP="00362E3B">
            <w:pPr>
              <w:jc w:val="both"/>
            </w:pPr>
            <w:r w:rsidRPr="0060646C">
              <w:t>1.0 Technical</w:t>
            </w:r>
          </w:p>
          <w:p w14:paraId="0E3042C7" w14:textId="77777777" w:rsidR="0060646C" w:rsidRPr="0060646C" w:rsidRDefault="0060646C" w:rsidP="00362E3B">
            <w:pPr>
              <w:jc w:val="both"/>
            </w:pPr>
            <w:r w:rsidRPr="0060646C">
              <w:t>Experience 1.1(a)</w:t>
            </w:r>
          </w:p>
          <w:p w14:paraId="6C7E980B" w14:textId="77777777" w:rsidR="0060646C" w:rsidRPr="0060646C" w:rsidRDefault="0060646C" w:rsidP="00362E3B">
            <w:pPr>
              <w:jc w:val="both"/>
            </w:pPr>
            <w:r w:rsidRPr="0060646C"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9BD056" w14:textId="77777777" w:rsidR="0060646C" w:rsidRPr="0060646C" w:rsidRDefault="0060646C" w:rsidP="00362E3B">
            <w:pPr>
              <w:ind w:right="261"/>
              <w:jc w:val="both"/>
            </w:pPr>
            <w:r w:rsidRPr="0060646C">
              <w:t>The bidder must have designed, manufactured, type tested and supplied cumulatively atleast 24 (Twenty-Four) km of single core, 66kV/33kV/11kV or higher grade XLPE insulated cable which must have been in satisfactory# operation for at least 2 (two) years as on the originally scheduled date of bid opening i.e.</w:t>
            </w:r>
          </w:p>
          <w:p w14:paraId="27945447" w14:textId="77777777" w:rsidR="0060646C" w:rsidRPr="0060646C" w:rsidRDefault="0060646C" w:rsidP="00362E3B">
            <w:pPr>
              <w:ind w:right="261"/>
              <w:jc w:val="both"/>
            </w:pPr>
            <w:r w:rsidRPr="0060646C">
              <w:t>08/10/2025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71E3E4" w14:textId="77777777" w:rsidR="0060646C" w:rsidRPr="0060646C" w:rsidRDefault="0060646C" w:rsidP="00362E3B">
            <w:pPr>
              <w:ind w:right="270"/>
              <w:jc w:val="both"/>
            </w:pPr>
            <w:r w:rsidRPr="0060646C">
              <w:t>The bidder must have designed, manufactured, type tested and supplied cumulatively at least 24 (Twenty-Four) km of </w:t>
            </w:r>
            <w:r w:rsidRPr="0060646C">
              <w:rPr>
                <w:b/>
                <w:bCs/>
              </w:rPr>
              <w:t>single core or Three Core</w:t>
            </w:r>
            <w:r w:rsidRPr="0060646C">
              <w:t>, 66kV/33kV/11kV or higher grade XLPE insulated cable which must have been in satisfactory# operation for at least 2 (two) years as on the originally scheduled date of bid opening i.e. 08/10/2025.</w:t>
            </w:r>
          </w:p>
        </w:tc>
      </w:tr>
      <w:tr w:rsidR="0060646C" w:rsidRPr="0060646C" w14:paraId="123F3B3E" w14:textId="77777777" w:rsidTr="00362E3B">
        <w:trPr>
          <w:trHeight w:val="2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38387A" w14:textId="34E93680" w:rsidR="0060646C" w:rsidRPr="0060646C" w:rsidRDefault="0060646C" w:rsidP="00362E3B">
            <w:pPr>
              <w:jc w:val="both"/>
            </w:pPr>
            <w: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DB7EC5" w14:textId="77777777" w:rsidR="0060646C" w:rsidRPr="0060646C" w:rsidRDefault="0060646C" w:rsidP="00362E3B">
            <w:pPr>
              <w:jc w:val="both"/>
            </w:pPr>
            <w:r w:rsidRPr="0060646C">
              <w:t>Annexure-A (BDS)-QR</w:t>
            </w:r>
          </w:p>
          <w:p w14:paraId="4B9B10A6" w14:textId="77777777" w:rsidR="0060646C" w:rsidRPr="0060646C" w:rsidRDefault="0060646C" w:rsidP="00362E3B">
            <w:pPr>
              <w:jc w:val="both"/>
            </w:pPr>
            <w:r w:rsidRPr="0060646C">
              <w:t> </w:t>
            </w:r>
          </w:p>
          <w:p w14:paraId="16DA9C47" w14:textId="77777777" w:rsidR="0060646C" w:rsidRPr="0060646C" w:rsidRDefault="0060646C" w:rsidP="00362E3B">
            <w:pPr>
              <w:jc w:val="both"/>
            </w:pPr>
            <w:r w:rsidRPr="0060646C">
              <w:t>1.0 Technical</w:t>
            </w:r>
          </w:p>
          <w:p w14:paraId="5BAA1FD1" w14:textId="77777777" w:rsidR="0060646C" w:rsidRPr="0060646C" w:rsidRDefault="0060646C" w:rsidP="00362E3B">
            <w:pPr>
              <w:jc w:val="both"/>
            </w:pPr>
            <w:r w:rsidRPr="0060646C">
              <w:t>Experience 1.2</w:t>
            </w:r>
          </w:p>
          <w:p w14:paraId="28936E78" w14:textId="77777777" w:rsidR="0060646C" w:rsidRPr="0060646C" w:rsidRDefault="0060646C" w:rsidP="00362E3B">
            <w:pPr>
              <w:jc w:val="both"/>
            </w:pPr>
            <w:r w:rsidRPr="0060646C"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01A765" w14:textId="0D93327D" w:rsidR="0060646C" w:rsidRPr="0060646C" w:rsidRDefault="0060646C" w:rsidP="00362E3B">
            <w:pPr>
              <w:ind w:right="261"/>
              <w:jc w:val="both"/>
            </w:pPr>
            <w:r w:rsidRPr="0060646C">
              <w:t>The bidder must have successfully executed a contract which includes underground laying &amp; termination in a single contract, at least 24 (Twenty Four) km of single core, 11</w:t>
            </w:r>
            <w:r w:rsidR="00F452D6">
              <w:t>kV</w:t>
            </w:r>
            <w:r w:rsidRPr="0060646C">
              <w:t xml:space="preserve"> or higher grade XLPE insulated cable including testing and commissioning which should must have been in satisfactory operation for at least 2 (two) years as on the originally scheduled date of bid opening mentioned above.</w:t>
            </w:r>
          </w:p>
          <w:p w14:paraId="497F9134" w14:textId="77777777" w:rsidR="0060646C" w:rsidRPr="0060646C" w:rsidRDefault="0060646C" w:rsidP="00362E3B">
            <w:pPr>
              <w:jc w:val="both"/>
            </w:pPr>
            <w:r w:rsidRPr="0060646C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F2449E" w14:textId="7D4779A1" w:rsidR="0060646C" w:rsidRPr="0060646C" w:rsidRDefault="00F452D6" w:rsidP="00362E3B">
            <w:pPr>
              <w:ind w:right="128"/>
              <w:jc w:val="both"/>
            </w:pPr>
            <w:r w:rsidRPr="0060646C">
              <w:t xml:space="preserve">The bidder must have successfully executed a contract which includes underground </w:t>
            </w:r>
            <w:r w:rsidR="0060646C" w:rsidRPr="0060646C">
              <w:t>Laying &amp; termination in a single contract, at least 24 (Twenty-Four) km of </w:t>
            </w:r>
            <w:r w:rsidR="0060646C" w:rsidRPr="0060646C">
              <w:rPr>
                <w:b/>
                <w:bCs/>
              </w:rPr>
              <w:t>single core or Three Core</w:t>
            </w:r>
            <w:r w:rsidR="0060646C" w:rsidRPr="0060646C">
              <w:t>, 11kV or higher grade XLPE insulated cable including testing and commissioning which must have been in satisfactory# operation for at least 2 (two) years as on the originally scheduled date of bid opening.</w:t>
            </w:r>
          </w:p>
        </w:tc>
      </w:tr>
    </w:tbl>
    <w:p w14:paraId="10E03B36" w14:textId="77777777" w:rsidR="0060646C" w:rsidRPr="0060646C" w:rsidRDefault="0060646C" w:rsidP="0060646C">
      <w:pPr>
        <w:jc w:val="both"/>
        <w:rPr>
          <w:b/>
          <w:bCs/>
        </w:rPr>
      </w:pPr>
    </w:p>
    <w:sectPr w:rsidR="0060646C" w:rsidRPr="0060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C1E"/>
    <w:multiLevelType w:val="multilevel"/>
    <w:tmpl w:val="6234BB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54EC2"/>
    <w:multiLevelType w:val="multilevel"/>
    <w:tmpl w:val="5FDE5A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666890">
    <w:abstractNumId w:val="0"/>
  </w:num>
  <w:num w:numId="2" w16cid:durableId="212410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6C"/>
    <w:rsid w:val="0060646C"/>
    <w:rsid w:val="009C0480"/>
    <w:rsid w:val="00A2671C"/>
    <w:rsid w:val="00E75C05"/>
    <w:rsid w:val="00F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8CEC"/>
  <w15:chartTrackingRefBased/>
  <w15:docId w15:val="{DF54025B-3A57-445E-9B5D-1780515B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 Choudhury {हीरक चौधुरी}</dc:creator>
  <cp:keywords/>
  <dc:description/>
  <cp:lastModifiedBy>Hirak Choudhury {हीरक चौधुरी}</cp:lastModifiedBy>
  <cp:revision>2</cp:revision>
  <dcterms:created xsi:type="dcterms:W3CDTF">2025-10-06T04:16:00Z</dcterms:created>
  <dcterms:modified xsi:type="dcterms:W3CDTF">2025-10-06T04:22:00Z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2025-10-06T04:20:54Z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4057fd7e-e2ef-4071-b2e5-613e1a4bd34c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